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P/8762/2016 vom 9. Januar 2023</w:t>
      </w:r>
    </w:p>
    <w:p>
      <w:r>
        <w:t>GE Cour de justice, 2023-01-09, FR</w:t>
      </w:r>
    </w:p>
    <w:p>
      <w:r>
        <w:rPr>
          <w:b/>
        </w:rPr>
        <w:t xml:space="preserve">Quelle: </w:t>
      </w:r>
      <w:r>
        <w:t>https://mcp.opencaselaw.ch/entscheid/ge_gerichte_P_8762_2016</w:t>
      </w:r>
    </w:p>
    <w:p>
      <w:r>
        <w:t>FR: GE_GERICHTE P/8762/2016 du 9 janvier 2023</w:t>
      </w:r>
    </w:p>
    <w:p>
      <w:r>
        <w:t>IT: GE_GERICHTE P/8762/2016 del 9 gennaio 2023</w:t>
      </w:r>
    </w:p>
    <w:p>
      <w:pPr>
        <w:pStyle w:val="Heading2"/>
      </w:pPr>
      <w:r>
        <w:t>Regeste</w:t>
      </w:r>
    </w:p>
    <w:p>
      <w:r>
        <w:t>APPRÉCIATION DES PREUVES;FIXATION DE LA PEINE | CP.187; CP.189; CPP.10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p. 39).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À teneur de l'art. 187 ch. 1 CP, celui notamment qui aura commis un acte d'ordre sexuel sur un enfant de moins de 16 ans ou qui aura entraîné un enfant de cet âge à commettre un acte d'ordre sexuel, sera puni d'une peine privative de liberté de cinq ans au plus ou d'une peine pécuniaire.</w:t>
      </w:r>
    </w:p>
    <w:p>
      <w:r>
        <w:rPr>
          <w:b/>
        </w:rPr>
        <w:t>E. 2.3</w:t>
      </w:r>
    </w:p>
    <w:p>
      <w:r>
        <w:t>Il ressort de l'art. 189 al. 1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2.3.1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 p. 52 s.).</w:t>
      </w:r>
    </w:p>
    <w:p>
      <w:r>
        <w:rPr>
          <w:b/>
        </w:rPr>
        <w:t>E. 2.3.2</w:t>
      </w:r>
    </w:p>
    <w:p>
      <w:r>
        <w:t>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w:t>
      </w:r>
    </w:p>
    <w:p>
      <w:r>
        <w:rPr>
          <w:b/>
        </w:rPr>
        <w:t>E. 2.3.3</w:t>
      </w:r>
    </w:p>
    <w:p>
      <w:r>
        <w:t>En introduisant la notion de " pressions psychiques ",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110 et 111 ;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On peut attendre d'adultes en pleine possession de leurs facultés une résistance supérieure à celle que des enfants sont en mesure d'opposer (ATF 131 IV 167 consid. 3.1 p. 171).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w:t>
      </w:r>
    </w:p>
    <w:p>
      <w:r>
        <w:rPr>
          <w:b/>
        </w:rPr>
        <w:t>E. 2.3.4</w:t>
      </w:r>
    </w:p>
    <w:p>
      <w:r>
        <w:t>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2.4.1. En raison des biens juridiques protégés différents, l’article 189 CP entre en concours idéal avec l’article 187 CP (ATF 124 IV 154 = JdT 2000 IV 134; ATF 119 IV 309 consid. 7a ; M. DUPUIS / L. MOREILLON / C. PIGUET / S. BERGER / M. MAZOU / V. RODIGARI, Code pénal - Petit commentaire, 2e éd., Bâle 2017 , n. 46 ad art. 189). 2.4.2. Les infractions définies aux art. 187 et 189 CP sont réalisées par la commission d'un seul acte d'ordre sexuel. Ces dispositions ne constituent pas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arrêts du Tribunal fédéral 6P.111/2005 du 12 novembre 2005 consid. 9.3.1 ; 6S.397/2005 du 13 novembre 2005 consid. 2.3.1).</w:t>
      </w:r>
    </w:p>
    <w:p>
      <w:r>
        <w:rPr>
          <w:b/>
        </w:rPr>
        <w:t>E. 2.5</w:t>
      </w:r>
    </w:p>
    <w:p>
      <w:r>
        <w:t>L'art. 198 al. 2 prévoit que celui qui aura importuné une personne notamment par des attouchements d'ordre sexuel sera, sur plainte, puni d'une amende.</w:t>
      </w:r>
    </w:p>
    <w:p>
      <w:r>
        <w:rPr>
          <w:b/>
        </w:rPr>
        <w:t>E. 2.5.1</w:t>
      </w:r>
    </w:p>
    <w:p>
      <w:r>
        <w:t>L'art. 198 al. 2 CP réprime, sous l'intitulé " désagréments causés par la confrontation à un acte d'ordre sexuel ", le fait d'importuner une personne par des attouchements d'ordre sexuel. Est notamment visé par cette disposition le fait de toucher les organes sexuels d'une autre personne, notamment les seins ou les fesses d'une femme, même par-dessus ses habits, ou de se frotter à elle pour lui faire sentir son sexe en érection (arrêt du Tribunal fédéral 6B_303/2008 du 23 janvier 2009 consid. 3). Le fait de serrer une femme contre son corps de manière à ce que cette dernière sente le sexe de l’auteur en érection est constitutif de l’infraction (M. DUPUIS / L. MOREILLON / C. PIGUET / S. BERGER / M. MAZOU / V. RODIGARI [éds], op. cit. , n. 10 ad art. 198). Lorsque la victime est un enfant, la pratique tend à admettre l'existence d'un acte d'ordre sexuel, même pour des attouchements furtifs par-dessus les habits, qui entraîneraient plutôt, entre adultes, l'application de l'art. 198 al. 2 CP (arrêts du Tribunal fédéral 6B_820/2007 du 14 mars 2008 consid. 3.1 ; 6S.117/2006 du 9 juin 2006 consid. 2.1).</w:t>
      </w:r>
    </w:p>
    <w:p>
      <w:r>
        <w:rPr>
          <w:b/>
        </w:rPr>
        <w:t>E. 2.6</w:t>
      </w:r>
    </w:p>
    <w:p>
      <w:r>
        <w:t>Le droit de porter plainte se prescrit par trois mois. Le délai court du jour où l’ayant droit a connu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En présence d'un empêchement de procéder, la procédure est classée (art. 329 CPP).</w:t>
      </w:r>
    </w:p>
    <w:p>
      <w:r>
        <w:rPr>
          <w:b/>
        </w:rPr>
        <w:t>E. 2.7</w:t>
      </w:r>
    </w:p>
    <w:p>
      <w:r>
        <w:t>En l'espèce, la Chambre pénale d'appel et de révision (ci-après : CPAR) considère comme établi, sur la base des éléments de la procédure, que l'appelant a vécu au domicile de la famille de la plaignante entre la fin de l'année 2007 et le mois de juillet 2011, soit entre les six et dix ans de cette dernière. Mineur et sans travail lorsqu'il est arrivé en Suisse, le prévenu était en charge de l'intimée et de son frère, I______, lorsque leurs parents étaient au travail. Il les a ainsi conduits à l'école, a préparé leur repas de midi et est allé les chercher en fin d'après-midi après les cours, avant de commencer une activité professionnelle dans le courant de l'année 2008. En particulier en 2011, malgré ses nombreuses variations à ce sujet, la Cour de céans retient qu'il se rendait à l'entrepôt de son employeur, sis route 2______ no. a______, de 7h à 16h30, sauf urgences (attestation de T______ SA et règlement intérieur), de sorte qu'il devait quitter le domicile entre 6h15 et 6h30, en fonction du moyen de transport qu'il choisissait, ce qui correspond au moment où la mère de la victime partait travailler. Trois fois par semaine, soit les lundis, mercredis et jeudis ou vendredis, il partait s'entrainer pour 18h45/19h. Bien qu'il soit peu probable qu'il se soit rendu directement depuis son lieu de travail à chacun de ses entrainements, qui débutaient plus de deux heures après la fin de son activité professionnelle, cela importe peu dans la mesure où il est avéré qu'il se retrouvait au minimum deux après-midis par semaine avec la plaignante en l'absence de ses parents, ce qu'il admet, entre le moment où il regagnait le domicile, vers 17h/17h15, et celui où la mère de la jeune fille rentrait, soit aux alentours de 18h. 2.8.1. Bien que confrontée à réitérées reprises à l'appelant et malgré l'ordonnance de classement rendue en août 2017, la victime n'a eu de cesse de maintenir ses accusations contre son cousin, alors même qu'elle a eu l'honnêteté et le courage de retirer – à deux reprises – celles contre son père. Son récit des faits a été très complet et détaillé. Elle a dévoilé, avec ses propres mots (" dégueulasse ", " blocage ", " aller-retour " ou encore sexe " dressé "), le déroulement de plusieurs épisodes, décrivant les effets de surprise initiaux, la violence et les coups reçus dont les traces ont été relevées par ses parents et les services de protection de l'enfant, en particulier l'hématome à l'œil, la résistance opérée et les parties du corps qu'ils s'étaient touchées réciproquement. Elle a indiqué le contexte des faits, à savoir où ils avaient eu lieu, allant même jusqu'à dessiner un croquis en audience, et leur position respective. Elle a donné des détails précis, notamment sur le fait de savoir si le sexe de l’appelant était en érection, où s'était précisément déroulé l'épisode du cunnilingus, où il l'avait frappée et comment il la maintenait pour parvenir à ses fins. Elle a décrit ses sentiments pendant et après les faits, soit avant tout de la peur, mais aussi de la sidération, du dégoût, de la honte et de la culpabilité, sentiments très fréquent chez les victimes d'infractions sexuelles (ATF 147 IV 409 consid. 5.4.1 = JdT 2022 IV 192). Par ailleurs, les émotions manifestées, parfois vives, durant ses dépositions, à l'audience d'appel encore, sont en adéquation avec son récit. A sa mise en cause constante s'ajoute la modération de ses propos, – hormis devant G______, ce qui peut s'expliquer par la relation intime qu'elles entretenaient et le manque de maturité de l'intimée dû à son jeune âge – à savoir que les faits litigieux avaient été perpétrés durant quelques mois seulement, alors que son cousin a vécu au domicile familial durant de nombreuses années, et pour certains faits, à une seule occasion, et qu'il avait agi, à une reprise au moins, sans contrainte physique. Elle a reconnu avoir inventé certaines " conneries ", qui ne figurent d'ailleurs pas dans l'acte d'accusation, notamment que son cousin l'aurait droguée et violée, ce qu'il aurait admis, et qu'il serait venu rôder devant son domicile. Elle n'a par ailleurs aucun intérêt à accuser faussement ce cousin, qu'elle considérait comme un " grand frère ", d'autant que ses révélations sont intervenues spontanément cinq ans après les faits dans un tout autre contexte pénal. A aucun moment, elle n'a manifesté un esprit de revanche ou d'animosité à son égard, ce que reflète d'ailleurs sa lettre à son égard. Enfin, le dossier médical de l'intimée, qui a entamé un suivi un mois seulement après ses déclarations à la police, révèle des épisodes dépressifs récurrents ainsi qu'un trouble de la personnalité émotionnelle labile parfaitement compatibles avec les faits et au demeurant usuels dans ce type d'affaires. Ses différents thérapeutes ont d'ailleurs mis en lien cet état, hormis le trouble de l'attention, avec les abus relatés, M______ ayant déclaré que sa patiente ne lui avait confié aucun autre traumatisme à même d'expliquer ces symptômes. C'est sans compter que la victime a été hospitalisée à deux reprises, à la suite d'idées suicidaires, respectivement de tentative de suicide. 2.8.2. Le récit de la plaignante a néanmoins passablement évolué, de sorte qu'il manque de constance à quelques égards. Durant sa première audition, même si elle a rapidement révélé qu'il y avait eu " d'autres fois ", elle n'a évoqué succinctement que trois épisodes où il était question de caresses sur la poitrine et le sexe et ne s'est confiée s'agissant de la fellation, des masturbations ou encore de la simulation de l'acte sexuel qu'après avoir été interrogée par le procureur, lors de sa deuxième audition, en lien avec les révélations faites à G______. C'est le lieu de souligner que la jeune fille a révélé les abus subis cinq ans après leur terme, les ayant " effacés " de sa mémoire dans l'intervalle. Durant ces années, elle ne s'était confiée à personne par " honte " et par crainte, si ce n'est à ses parents et son amie intime, très peu de temps avant d'être entendue par la police, expliquant de manière convaincante comment les retrouvailles avec son cousin lors du mariage du 13 février 2016 avaient fait ressurgir ses souvenirs et l'avaient profondément bouleversée, comme l'avait noté en particulier sa mère. A ce sujet, le fait d'attendre longtemps avant de se confier et de déposer plainte pénale correspond à un phénomène courant chez les victimes d'infractions sexuelles, lesquelles aspirent le plus souvent au refoulement ou au déni de l'évènement traumatique vécu, et ne saurait remettre en cause la crédibilité générale de leurs déclarations (ATF 147 IV 409 consid. 5.4.1). Ces compléments n'ont ainsi rien de surprenant dans un contexte de dévoilement progressif et pour une jeune fille d'à peine 15 ans, pudique et peinant à se confronter, pour la première fois devant des étrangers, à la réalité de ce qu'elle avait enduré lorsqu'elle n'était âgée que de dix ans. D'une part, elle a expliqué, ce qui parait parfaitement compréhensible, que le fait d'échanger et de verbaliser ce qu'elle avait vécu enfant lui avait permis d'en prendre conscience. D'autre part, toujours selon elle, certains évènements lui étaient revenus au fil du temps. Or, il est établi que les expériences traumatiques sont traitées par le cerveau différemment des évènements quotidiens. Elles peuvent ainsi entraîner des pertes de mémoire et justifier de potentielles incohérences, qui résultent notamment de tentatives de refoulement, ou, au contraire, une grande richesse de détails dans la relation des faits (ATF 147 IV 409 consid. 5.4.2). On rappellera d'autre part que l'audition EVIG ne portait initialement pas sur les abus litigieux, qui ont ainsi été révélés par la jeune fille de manière impromptue. Ce contexte permet d'expliquer pourquoi cette dernière n'a vraisemblablement pas jugé utile à ce moment-là de fournir plus de détails, tout comme le policier en charge de l'audition, qui ne s'est pas attardé outre mesure sur ces révélations. Le fait que ce ne soit pas une inspectrice n'était probablement pas étranger non plus à l'embarras de la plaignante. Par ailleurs et comme n'a pas manqué de le soulever la CPR dans son arrêt du 6 mars 2018, il y a lieu de tenir compte des circonstances dans lesquelles l'intimée, encore mineure, a été interrogée lors de la deuxième audition sus-décrite, soit à nouveau par un procureur de sexe masculin durant près de cinq heures et demi en présence de son cousin, mais aussi de son père, qu'elle accusait également de violences, et de son ex-amie intime. Cette audience l'a perturbée à un point tel que son état dépressif sévère a conduit à sa première hospitalisation en septembre 2016. Ainsi, si de manière générale, les déclarations initiales, plus spontanées et proches des actes reprochés, jouissent généralement d'une plus grande force probante, les conditions dans lesquelles celles-ci ont été recueillies dans le cas d'espèce forcent à retenir que les révélations subséquentes de la victime paraissent davantage abouties et réfléchies et par conséquent, plus crédibles. Toutefois, si, comme le relèvent les premiers juges, certaines de ses contradictions et imprécisions, telles que les pièces précises où l'intimée s'était enfermée avant et/ou après les sévices et les vêtements qu'elle portait, peuvent aisément s'expliquer par le temps écoulé depuis les faits, le jeune âge de la victime ou encore la répétition des actes, il n'en va pas de même de caresses sur le sexe que le prévenu aurait imposées à sa cousine par-dessous ses vêtements à son réveil. Outre le fait que, le matin, la mère de la précitée quittait le domicile en même temps que le prévenu (voir supra ch. 2.7), ce qui laissait une marge de manœuvre bien trop faible à ce dernier pour agir, ces révélations ne sont intervenues que le 24 août 2020, soit plus de quatre ans après la première audition EVIG, de sorte qu'elles seront, dans le doute, écartées. 2.8.3. Il résulte de l'analyse qui précède que l'intimée jouit d'une très forte crédibilité, nonobstant les incohérences précédemment discutées.</w:t>
      </w:r>
    </w:p>
    <w:p>
      <w:r>
        <w:rPr>
          <w:b/>
        </w:rPr>
        <w:t>E. 2.9</w:t>
      </w:r>
    </w:p>
    <w:p>
      <w:r>
        <w:t>Dans la mesure ou l’appelant nie globalement les faits, sa propre crédibilité est plus difficile à examiner. Plusieurs éléments interpellent, au premier rang desquels figurent les déclarations de K______, cousine germaine de l'appelant. Si les faits décrits par cette dernière n'ont aucune commune mesure avec ceux issus de la présente procédure, ils mettent en lumière non seulement les tendances incestueuses du prévenu, alors tout de même âgé de 15/16 ans à l'époque des faits, mais également son attirance pour les toutes jeunes filles. Il a par ailleurs ressenti le besoin de présenter ses excuses à la famille de la victime pour avoir " menti, trompé, causé du tort à ses cousins et avoir porté la honte à sa famille " durant trois ans, ce qui s'explique difficilement si l'on s'en tient à sa version des faits, à savoir une mauvaise entente avec son oncle, due au fait qu'il fumait. L'appelant a également fait preuve d'une forme d'inadéquation dans ses rapports avec ses petits cousins, les exposant à des violences physiques par des jeux de catch fréquents, malgré les blessures et les dérobades de la plaignante qui s'enfermait dans différentes pièces de l'appartement. De manière quelque peu insaisissable et sans fournir d'explication crédible, si ce n'est qu'elle s'énervait rapidement, l'appelant a indiqué qu'il ne s'entendait pas avec sa jeune cousine, comme pour balayer tout lien, même ténu, qu'il pourrait avoir entretenu avec elle. Enfin, il n'a cessé de varier sur un point essentiel, à savoir son emploi du temps, en particulier en fin d'après-midi, ses paroles ne reflétant qu'une adaptation aux éléments du dossier, de sorte que, globalement, elles jouissent d'une fiabilité limitée. En définitive, si elle n’est pas mauvaise, sa crédibilité n’est pas différente de celle de tout prévenu qui conteste l’accusation et dont l’intérêt à nier les faits (bénéfice primaire) est manifeste. Elle ne saurait en tout cas l’emporter sur celle de la victime, passée au crible de l’examen qui précède.</w:t>
      </w:r>
    </w:p>
    <w:p>
      <w:r>
        <w:rPr>
          <w:b/>
        </w:rPr>
        <w:t>E. 2.10</w:t>
      </w:r>
    </w:p>
    <w:p>
      <w:r>
        <w:t>En conclusion, il est retenu que les faits reprochés par l'intimée, tels que résumés dans l’acte d’accusation, sont établis, hormis s'agissant des caresses perpétrées sur le sexe de la victime, tôt le matin, sous ses habits (voir supra ch. 2.8.2), pour lesquelles il sera acquitté.</w:t>
      </w:r>
    </w:p>
    <w:p>
      <w:r>
        <w:rPr>
          <w:b/>
        </w:rPr>
        <w:t>E. 2.11</w:t>
      </w:r>
    </w:p>
    <w:p>
      <w:r>
        <w:t>A raison, l’appelant ne conteste pas la qualification juridique retenue d'actes d'ordre sexuel avec des enfants, dès lors qu'il ne fait nul doute que les actes, à l'exclusion de la simulation d'acte sexuel analysée ci-après (voir infra ch. 2.11.1), que le prévenu a fait subir durant le premier semestre de l'année 2011, à la plaignante, alors âgée de neuf et dix ans, consistant à la contraindre à des actes (masturbations, caresses sur la poitrine et le sexe par-dessus les vêtements, pénétration digitale, cunnilingus et fellation) étaient propres et destinés à la jouissance sexuelle du prévenu et sont constitutifs d'actes d'ordre sexuel avec des enfants.</w:t>
      </w:r>
    </w:p>
    <w:p>
      <w:r>
        <w:rPr>
          <w:b/>
        </w:rPr>
        <w:t>E. 2.11.1</w:t>
      </w:r>
    </w:p>
    <w:p>
      <w:r>
        <w:t>Si l'on se place du point de vue d'un tiers extérieur, la simulation de levrette, à laquelle le prévenu s'est livré avec sa cousine, a incontestablement une connotation sexuelle. Ce comportement, examiné de manière isolée, est néanmoins d'une intensité moindre que ceux visés par la notion d'actes d'ordre sexuel, dans la mesure où ils étaient tous deux habillés et où les faits semblent avoir été furtifs. En outre, la plaignante ne prétend pas qu'à cette occasion son agresseur lui aurait caressé ses organes sexuels ou encore qu'elle aurait senti son sexe, ce qui ne ressort pas non plus de l'acte d'accusation. Partant, le prévenu sera acquitté des chefs d'actes d'ordre sexuel avec des enfants (art. 187 al. 1 CP) et de contrainte sexuelle (art. 189 al. 1 CP) qui lui sont reprochés en lien avec les faits visés par le ch. 1.1.8 de l'acte d'accusation, dans la mesure où l'acte reproché ne constitue pas un acte d'ordre sexuel. Par ailleurs, sous l'angle des conditions de l'ouverture de l'action publique, les faits reprochés étant le cas échéant constitutifs de désagréments causés par la confrontation à un acte d'ordre sexuel (art. 198 al. 2 CP), ils ne sont poursuivis que sur plainte. La plainte ayant été déposée largement plus de trois mois après la connaissance de l'acte délictueux et de son auteur, force est de constater que le délai prévu par l'art. 31 CP n'a pas été respecté. Au surplus, le délai de prescription est largement dépassé s’agissant en l’occurrence d’une contravention (art. 109 CP). Les accusations de désagréments causés par la confrontation à un acte d'ordre sexuel seront classées, les conditions nécessaires à l'ouverture de l'action publique faisant défaut, sans qu'il ne soit nécessaire d'analyser plus avant la réalisation des autres conditions (art. 329 al. 1 let. c et al. 4 CPP).</w:t>
      </w:r>
    </w:p>
    <w:p>
      <w:r>
        <w:rPr>
          <w:b/>
        </w:rPr>
        <w:t>E. 2.12</w:t>
      </w:r>
    </w:p>
    <w:p>
      <w:r>
        <w:t>S'agissant de la contrainte sexuelle perpétrée durant le premier semestre 2011, le prévenu a usé tant de moyens de contrainte physique lors de ces actes, la plaignante lui ayant opposé, avec bravoure, une grande résistance qui lui a permis, sans aucun doute, de se soustraire à certains actes, que de contrainte psychique. La victime a, en effet, décrit comment l'appelant s'y prenait pour parvenir à ses fins, à savoir qu'il avait d'abord agi en exploitant l'effet de surprise, avant de se montrer violent, en la frappant, en l'immobilisant au sol, en bloquant ses bras et ses jambes, en la portant et en la déshabillant de force. La Cour de céans retient, par ailleurs, que le prévenu a contraint la plaignante à de tels actes par le recours à des pressions d'ordre psychique. Les coups portés de manière répétée lui ont, sans aucun doute, permis d'instaurer un climat de peur et, partant, d'avoir un ascendant sur sa petite victime, neuf ou dix ans représentant un âge charnière situé entre l'enfance et l'adolescence. En agissant, le prévenu, qui remplissait le rôle de figure fraternelle pour la jeune fille depuis plus de trois ans, ayant pris particulièrement soin d'elle durant plusieurs mois, a usé non seulement de ce lien de confiance, mais aussi de l'autorité qui était naturellement attachée à son statut de cousin, de dix ans son aîné, malgré les contestations de ce dernier. Il a également tiré avantage de l'infériorité cognitive et physique de l'intimée, ainsi que de sa dépendance émotionnelle et sociale, tant et si bien qu'ayant vraisemblablement fini par intégrer qu'il était inutile, voire contre-productif, de se rebeller, l'intimée a subi, sans y être contrainte physiquement, certains actes, tels que les masturbations et la fellation imposées. En outre, le prévenu jouissait de la pleine confiance de ses oncle et tante, lesquels, s'ils avaient des doutes sur les jeux de violence, n'ont aucunement soupçonné les abus au sein même du lieu de vie de la victime. De manière compréhensible, elle s'est retrouvée dans une situation sans issue, n'osant évoquer les faits avec des tiers par peur. De cette manière, le conflit de conscience, entre un cousin, des agissements qu'elle n'appréciait pas et la crainte des représailles sur elle-même et, plus généralement, sur l'équilibre familial, l'a mise hors d'état de résister à quelques reprises. La victime ayant indiqué n'avoir eu de cesse de se débattre, de crier, de frapper ou encore de partir s'enfermer dans une pièce de l'appartement, il ne pouvait échapper au prévenu qu'il la soumettait aux actes d'ordre sexuel contre sa volonté et, s'agissant des rares fois où il n'a pas usé de contrainte, qu'il agissait sans consentement. En exploitant une telle situation, le prévenu s'est bien rendu coupable de contrainte au sens de l'art. 189 CP.</w:t>
      </w:r>
    </w:p>
    <w:p>
      <w:r>
        <w:rPr>
          <w:b/>
        </w:rPr>
        <w:t>E. 2.13</w:t>
      </w:r>
    </w:p>
    <w:p>
      <w:r>
        <w:t>La condamnation du prévenu d'actes d'ordre sexuel avec des enfants au sens de l'art. 187 ch. 1 CP et de contrainte sexuelle au sens de l'art. 189 al. 1 CP (ch. 1.1.1, 1.1.2 et 1.1.4 à 1.1.7 de l'acte d'accusation) sera ainsi confirmée. Il sera néanmoins acquitté, au profit du doute, de ces chefs s'agissant des caresses perpétrées sur le sexe de l'intimée, tôt le matin, sous ses habits (ch. 1.1.3) et les faits seront classés concernant la simulation d'acte sexuel (ch. 1.1.8). Partant, l'appel sera partiellement admis et le jugement réformé en ce sens.</w:t>
      </w:r>
    </w:p>
    <w:p>
      <w:r>
        <w:rPr>
          <w:b/>
        </w:rPr>
        <w:t>E. 3</w:t>
      </w:r>
    </w:p>
    <w:p>
      <w:r>
        <w:t>3.1. Les nouvelles dispositions sur le droit des sanctions sont entrées en vigueur le 1 er janvier 2018. En l'espèce, l'application de l'ancien ou du nouveau droit ne conduit pas à une solution différente, de sorte que le nouveau droit ne s'applique pas au titre de " lex mitior ".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3.2.2.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Concrètement, le juge, dans un premier temps, fixe la peine pour l'infraction abstraitement, d'après le cadre légal fixé pour chaque infraction à sanctionner, la plus grave, en tenant compte de tous les éléments pertinents, parmi lesquels les circonstances aggravantes ou atténuantes. Dans un second temps, il l'augmente pour sanctionner chacune des autres infractions, en tenant là aussi compte de toutes les circonstances y relatives (ATF 144 IV 313 consid. 1.1.2). 3.2.4. La durée de la peine privative de liberté est, en principe, de six mois au moins et de 20 ans au plus (art. 40 aCP). 3.2.5. Selon l'art. 42 al. 1 aCP,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aCP s'applique de manière autonome. En effet, exclu dans ces cas (art. 42 al. 1 aCP),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aCP), à savoir les perspectives d'amendement, valent en revanche également pour le sursis partiel prévu à l'art. 43 aCP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3.3</w:t>
      </w:r>
    </w:p>
    <w:p>
      <w:r>
        <w:t>Bien que, d'emblée, la durée globale de l'instruction, qui s'étend sur plus de cinq ans, puisse sembler longue, en particulier les trois années qui se sont écoulées entre l'audience devant le MP du 21 juillet 2016 et celle subséquente du 27 août 2019, cette dernière ayant été tenue près d'un an et demi après l'arrêt de renvoi de la CPR pour poursuite de l'instruction, outre le fait que l'appelant ne se soit jamais plaint d'une quelconque violation du principe de la célérité (art. 29 al. 1 Cst), il ne ressort pas de la procédure qu'il serait intervenu auprès de l'autorité compétente pour s'inquiéter de l'avancement de la procédure ou encore qu'il l'aurait invitée à accélérer, de sorte qu'il est désormais déchu du droit de soulever ce grief (ATF 126 V 244 consid. 2d p. 248 ; 125 V 373 consid. 2b/aa p. 375/376 ; arrêts du Tribunal fédéral 5A_516/2010 du 22 septembre 2010 consid. 2.2 ; 2A.86/2007 du 12 juillet 2007 consid. 5.2). 3.4.1. En l'espèce, la faute du prévenu est grave. Avec lâcheté, il s'en est pris à l'intégrité de l'intimée, à savoir non seulement une fillette, mais également sa cousine germaine, avec laquelle il habitait depuis plusieurs années. Il a trahi sa confiance, en agissant durant sa pré-adolescence, soit une période importante pour son développement personnel et sexuel. Il a également profité des libertés et avantages que lui offraient ses oncle et tante pour opérer au sein même de leur foyer. Il a usé de la force, mais aussi de son autorité sur l'enfant et de l'infériorité cognitive de sa victime pour parvenir à ses fins, tirant profit de sa vulnérabilité. L'état dépressif récurrent et le trouble de la personnalité relevés par les professionnels attestent des conséquences destructrices sur l'intimée. La période pénale d'environ six mois est longue et certaines occurrences (ch. 1.1.1 et 1.1.2 de l'acte d'accusation) sont parfois intervenues à un rythme soutenu, le prévenu profitant de l'absence de ses oncles et tante pour agir. Ces faits (masturbations, caresses sur la poitrine et le sexe, pénétration digitale, cunnilingus et fellation) s'inscrivent à un échelon élevé d'actes susceptibles de tomber sous le coup des art. 189 et 187 CP. Sa détermination a donc été forte, ce d'autant qu'il a fait fi de la résistance opérée par sa cousine, laquelle a sans doute contribué à la " modération " de certains actes. Il n'a cessé ses actes que parce qu'il a été expulsé du domicile. C'est le lieu de souligner que, même si ces faits sont anciens, cela ne permet pas l'application de la circonstance atténuante de l'art. 48 let. e CP, dès lors qu'il s'agit de crimes imprescriptibles (art. 101 al. 1 let. e CP ; ATF 140 IV 145 consid. 3). Le mobile, soit la satisfaction de ses pulsions sexuelles au détriment de la liberté de choix, de l'intégrité sexuelle et de la santé mentale de sa victime, est égoïste. Sa situation personnelle était plutôt favorable. Accueilli par ses oncle et tante, avec lesquels il semblait, dans un premier temps, entretenir de bons rapports, il était employé par une société depuis 2009, pour laquelle il travaille d'ailleurs encore. Ces circonstances rendent d'autant plus incompréhensible son passage à l'acte. Sa collaboration a été mauvaise. Continuant de nier tout rapport avec la jeune fille et de la faire passer pour une menteuse, il ne manifeste aucune forme d'empathie à l'égard de sa jeune cousine. L'appelant n'a pas d'antécédent judiciaire, ce qui constitue toutefois un facteur neutre sur la fixation de sa peine. C'est ainsi à raison que le premier juge a prononcé une peine privative de liberté, seule envisageable et, au demeurant, non contestée, vu la gravité des actes. Les infractions d'actes d'ordre sexuel avec des enfants (art. 187 CP) et de contraintes sexuelles (art. 189 CP) commises sont en concours idéal parfait entre elles, tandis que chaque occurrence se trouve en concours réel parfait avec les autres. Ayant à l'esprit les différents aspects susmentionnés, mais aussi l'acquittement et le classement prononcés (voir supra ch. 2.8.2, 2.10 et 2.11.1), ainsi que le jeune âge du prévenu, la CPAR juge que les infractions de contrainte sexuelle, abstraitement les plus graves, doivent être sanctionnées d'une peine privative de liberté de 24 mois. Cette peine doit être aggravée de 12 mois (peine hypothétique de 18 mois) pour les actes d'ordre sexuel avec des enfants. L'appel sera, partant, partiellement admis sur ce point et le jugement réformé en ce sens. 3.4.2. Vu le quantum de la peine, seule la question de l'octroi du sursis partiel se pose. L’absence totale de prise de conscience par le prévenu du caractère répréhensible de ses actes justifierait le prononcé d'une peine ferme. Cet élément est toutefois compensé par le fait que, fiancé, jeune père et au bénéfice d'un emploi fixe, il semble avoir une vie particulièrement stable et rangée. Ainsi, la CPAR veut croire qu'une peine assortie d'un sursis partiel sera de nature à l'éloigner de tout agissement illicite à l'avenir. La partie ferme de la peine sera arrêtée à six mois, soit le minimum légal (art. 43 al. 3 CP). Compte tenu de la gravité des faits, la durée du délai d’épreuve pour le solde sera fixée à quatre ans. 3.4.3. Par conséquent, l'appel du prévenu sera également partiellement admis sur ce point et le jugement réformé en ce sens.</w:t>
      </w:r>
    </w:p>
    <w:p>
      <w:r>
        <w:rPr>
          <w:b/>
        </w:rPr>
        <w:t>E. 4</w:t>
      </w:r>
    </w:p>
    <w:p>
      <w:r>
        <w:t>4.1.1.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4.1.2. Selon l'art. 41 de la loi fédérale, complétant le Code civil suisse (CO, Code des obligations), celui qui cause, d'une manière illicite, un dommage à autrui, soit intentionnellement, soit par négligence ou imprudence, est tenu de le réparer. La preuve du dommage incombe au demandeur (art. 42 al. 1 CO). 4.1.3.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 Tribunal fédéral a relevé qu'une indemnité de CHF 30'000.- en cas de viol et contrainte sexuelle constituait un montant élevé, demeurant toutefois justifié dans le cas d'espèce (arrêt du Tribunal fédéral 6S.334/2003 du 10 octobre 2003 consid. 5). Les montants accordés en cas de viols ou de contraintes sexuelles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4.2.1. En l'espèce, s'agissant du dommage matériel, les récapitulatifs des frais de l'assurance-maladie produits pour les années 2016 à 2021 ne permettent pas d'établir la nature précise des soins prodigués, - et l'intimée en semble également incapable - hormis ceux relatifs à un suivi thérapeutique, des médicaments achetés en pharmacie ni même des analyses effectuées, de sorte qu'il n'est pas possible de savoir pour chaque montant allégué s'il se rapporte à un traitement nécessité en raison des faits pour lesquels l'appelant a été condamné ou non. La partie plaignante sera dès lors renvoyée à agir par la voie civile s'agissant de ses prétentions en réparation du dommage matériel. L'appel sera, partant, partiellement admis sur ce point. 4.2.2. La partie plaignante, âgée de neuf ans au commencement des abus, a subi durant environ six mois à de multiples reprises des atteintes particulièrement graves à son intégrité sexuelle de la part de son cousin germain. En sus des attouchements, elle a été victime de cunnilingus ainsi que de pénétration digitale forcés et a été contrainte à des masturbations et à une fellation. Les conséquences psychiques de ces atteintes sont lourdes. L'intimée a été profondément et durablement marquée par les actes que son cousin lui a fait subir dans son enfance. Elle a également rencontré des difficultés sur les plans relationnel et familial, lesquelles étaient encore présentes le jour de l'audience d'appel et devraient l'accompagner encore pendant longtemps. Cela ressort non seulement de son attitude durant la présente procédure, mais également des observations des spécialistes. Force est donc de constater que l'atteinte subie par la plaignante revêt une gravité objective certaine et que les conditions de l'octroi d'une indemnité pour tort moral sont manifestement remplies. Il convient néanmoins de relativiser quelque peu l'impact des atteintes sur le psychisme de la plaignante, dans la mesure où celles-ci n'apparaissent pas être la seule cause de ses maux, la jeune femme souffrant notamment d'un trouble de l'attention, lequel ne présente pas de lien, aux dires des praticiens, avec les abus subis. La plaignante a entamé un suivi en juin 2016. Depuis cette date, elle a été hospitalisée à deux reprises, la première fois compte tenu de son état dépressif sévère et la seconde, à la suite d'une tentative de suicide par surdose de médicaments. Elle souffre d'un trouble dépressif récurrent, lequel avait nécessité une médication, et d'un trouble de la personnalité émotionnelle. Sa récente mise au bénéfice d'une rente AI témoigne en outre de ses difficultés professionnelles, après avoir achevé sa scolarité péniblement. Au vu de ce qui précède, c'est à juste titre que les premiers juges ont fixé l'indemnité en réparation du tort moral à CHF 25'000.-, de sorte que l'appel sera rejeté sur ce point.</w:t>
      </w:r>
    </w:p>
    <w:p>
      <w:r>
        <w:rPr>
          <w:b/>
        </w:rPr>
        <w:t>E. 5</w:t>
      </w:r>
    </w:p>
    <w:p>
      <w:r>
        <w:t>La mesure de restitution, qui n'a pas été remise en cause en appel, sera confirmée.</w:t>
      </w:r>
    </w:p>
    <w:p>
      <w:r>
        <w:rPr>
          <w:b/>
        </w:rPr>
        <w:t>E. 6.1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6.2.1. En l'espèce, les actes pour lesquels le prévenu a été acquitté (ch. 1.1.3 de l'acte d'accusation) et ceux qui ont fait l'objet d'un classement (ch. 1.1.8) s'inscrivent dans le contexte de la contrainte sexuelle et des actes d'ordre sexuel avec des enfants pour lesquels sa condamnation est confirmée en appel. Ils n'ont pas commandé d'actes d'instruction séparés, de sorte qu'il ne se justifie pas de revoir la répartition des frais de première instance. 6.2.2. En seconde instance, l'appelant a obtenu partiellement gain de cause, de sorte qu'il apparaît équitable de lui faire supporter les deux tiers des frais de la procédure d'appel et de laisser le tiers restant à la charge de l'Etat.</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brèves observations ou déterminations ( AARP/33/2016 du 29 janvier 2016, AARP/326/2015 du 16 juillet 2015 et AARP/302/2013 du 14 juin 2013 [observations sur la déclaration d'appel] ; AARP/281/2015 du 25 juin 2015 [déterminations]), l'établissement d'un bordereau de pièces ( AARP/164/2016 du 14 avril 2016 consid. 6.3 ; AARP/102/2016 du 17 mars 2016 ; AARP/300/2015 du 16 juillet 2015 ; AARP/525/2015 du 14 décembre 2015 consid. 7.2.1 [chargé contenant des pièces déjà présentes au dossier]) ou encore la lecture des jugement, déclaration d'appel, ordonnance et arrêt de la CPAR ( AARP/142/2016 du 14 avril 2016 consid. 5.4.1, AARP/281/2015 du 25 juin 2015 et AARP/272/2015 du 1er juin 2015).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7.2.1. En l'occurrence, s'agissant de l'activité développée par M e C______, la prise de connaissance du jugement et la préparation du chargé de pièces, qui ont nécessité 1h40 d'activité, sont des tâches couvertes par le forfait. Néanmoins, le défenseur d'office sera indemnisé à hauteur de CHF 100.- pour son déplacement à l'audience, laquelle a duré 4h. En conclusion, la rémunération sera arrêtée à CHF 4'530.50, correspondant à 18h40 d'activité au tarif de CHF 200.-/heure (CHF 3'733.30) plus la majoration forfaitaire de 10% (CHF 373.30), une vacation à CHF 100.- et l'équivalent de la TVA au taux de 7.7% en CHF 323.90. 7.2.2. L'état de frais du conseil juridique gratuit de D______ satisfait les exigences légales et jurisprudentielles régissant l'assistance judiciaire gratuite en matière pénale, sous réserve du temps consacré par ce dernier à la rédaction d'observations et de conclusions en indemnisation ainsi qu'à l'élaboration du bordereau de pièces, tâches couvertes par le forfait. Sa rémunération sera arrêtée à CHF 2'121.70, correspondant à 8h30 d'activité au tarif de CHF 200.-/heure (CHF 1'700.-), plus la majoration forfaitaire de 10% (CHF 170.-), la vacation de CHF 100.- et l'équivalent de la TVA au taux de 7.7% en CHF 151.70.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