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P/8745/2023 vom 28. Mai 2025</w:t>
      </w:r>
    </w:p>
    <w:p>
      <w:r>
        <w:t>GE Cour de justice, 2025-05-28, FR</w:t>
      </w:r>
    </w:p>
    <w:p>
      <w:r>
        <w:rPr>
          <w:b/>
        </w:rPr>
        <w:t xml:space="preserve">Quelle: </w:t>
      </w:r>
      <w:r>
        <w:t>https://mcp.opencaselaw.ch/entscheid/ge_gerichte_P_8745_2023</w:t>
      </w:r>
    </w:p>
    <w:p>
      <w:r>
        <w:t>FR: GE_GERICHTE P/8745/2023 du 28 mai 2025</w:t>
      </w:r>
    </w:p>
    <w:p>
      <w:r>
        <w:t>IT: GE_GERICHTE P/8745/2023 del 28 maggio 2025</w:t>
      </w:r>
    </w:p>
    <w:p>
      <w:pPr>
        <w:pStyle w:val="Heading2"/>
      </w:pPr>
      <w:r>
        <w:t>Regeste</w:t>
      </w:r>
    </w:p>
    <w:p>
      <w:r>
        <w:t>MISE EN LIBERTÉ PROVISOIRE;RISQUE DE FUITE;RISQUE DE RÉCIDIVE | CPP.221.al1.leta; CPP.221.al1.letb; CPP.221.al1.letc</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gravité et la suffisance des charges.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 recourant conteste l'existence de charges suffisantes s'agissant des viols ainsi que des menaces, lésions corporelles et menaces allégués, se livrant pour cela à une synthèse de la totalité de la procédure. Il n'invoque en revanche pas d'élément qui permettrait de modifier l'appréciation qui a été faite de ces charges dans la dernière décision de prolongation de sa détention le 17 avril 2025, qu'il n'a pas contestée. Or dans cette dernière décision, le TMC a retenu que les charges, sans conteste graves, dont il a considéré qu'elles ne reposaient pas uniquement sur les déclarations de la victime, demeuraient suffisantes pour justifier la prolongation de la détention provisoire du prévenu. Ces considérations sont toujours d'actualité et il n'y a pas lieu de retenir que les charges se seraient amoindries depuis lors. En tout état, il reviendra au juge du fond, et non à celui de la détention, d'apprécier les éventuelles contradictions, les silences ou l'absence de souvenirs de la plaignante. En l'état, la perspective d'une condamnation apparaît toujours avec une vraisemblance suffisante. Le grief est ainsi rejeté.</w:t>
      </w:r>
    </w:p>
    <w:p>
      <w:r>
        <w:rPr>
          <w:b/>
        </w:rPr>
        <w:t>E. 3</w:t>
      </w:r>
    </w:p>
    <w:p>
      <w:r>
        <w:t>Le recourant conteste le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Au titre de mesures de substitution, une interdiction d'approcher peut dans certains cas suffire à prévenir le risque de collusion. Tel est notamment le cas lorsque les déclarations à charge émanent de la victime elle-même (cf. ATF 137 IV 122 consid. 4.3 p. 128 et 6.4), puisque l'on peut attendre de celle-ci qu'elle signale spontanément et immédiatement à l'autorité toute tentative de prise de contact ou d'intimidation (arrêt du Tribunal fédéral 1B_172/2015 du 28 mai 2015 consid. 4.2.).</w:t>
      </w:r>
    </w:p>
    <w:p>
      <w:r>
        <w:rPr>
          <w:b/>
        </w:rPr>
        <w:t>E. 3.3</w:t>
      </w:r>
    </w:p>
    <w:p>
      <w:r>
        <w:t>En l'espèce, bien que l'instruction soit désormais bien avancée, l'audition finale ayant eu lieu le 21 mai 2025, c'est à bon droit que le TMC a retenu la persistance du risque de collusion. Le recourant conteste les faits les plus graves qui lui sont reprochés, notamment les faits qualifiés de viol ainsi que ceux qui auraient été commis contre les enfants. Si l'ex-compagne du recourant a déjà été entendue et confrontée au précité, le risque de collusion reste important et concret, sous la forme de pressions ou de représailles, sur sa femme, voire ses enfants. À ce propos, la plaignante décrit clairement les craintes qu'elle ressent vis-à-vis du recourant. L'inquiétude qu'elle a manifestée au cours de la procédure, souhaitant notamment savoir si le recourant sera expulsé de Suisse, démontre bien que ces craintes sont réelles. L'intérêt du recourant à obtenir des témoignages favorables jusque devant l'autorité de jugement est très concret également au vu de la peine encourue si les faits les plus graves devaient être retenus à son encontre. Il importe donc que l'autorité de jugement puisse disposer de déclarations non influencées par le recourant. Le fait que le recourant ait disposé d'un téléphone en détention et n'ait cependant pas cherché à joindre son ex-compagne ne suffit pas à convaincre qu'il s'en abstiendrait une fois libéré. Quant à la mesure de substitution proposée dans les conclusions du recours, sous la forme d'une interdiction de contacter son ex-compagne et/ou les enfants de cette dernière et/ou des parties, elle est insuffisante au regard de l'intensité du risque de collusion constaté et ne permet pas, en l'état, de pallier le risque d'atteinte à la recherche de la vérité. Ainsi, l'engagement du recourant à ne pas prendre contact avec son ex-compagne et les enfants de celle-ci apparaît clairement insuffisant, compte tenu des enjeux de la procédure pour lui. Aucune autre mesure de substitution n'apparaît envisageable et le grief est rejeté.</w:t>
      </w:r>
    </w:p>
    <w:p>
      <w:r>
        <w:rPr>
          <w:b/>
        </w:rPr>
        <w:t>E. 4</w:t>
      </w:r>
    </w:p>
    <w:p>
      <w:r>
        <w:t>Le recourant reproche au TMC d'avoir retenu que le risque de fuite ne pouvait pas être pallié par des mesures de substitution.</w:t>
      </w:r>
    </w:p>
    <w:p>
      <w:r>
        <w:rPr>
          <w:b/>
        </w:rPr>
        <w:t>E. 4.1</w:t>
      </w:r>
    </w:p>
    <w:p>
      <w:r>
        <w:t>À teneur de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Conformément au principe de la proportionnalité (art. 36 al. 3 Cst., concrétisé par l'art. 237 al. 1 CPP), dont la liste n'est pas exhaustive, le tribunal compétent ordonne une ou plusieurs mesures moins sévères en lieu et place de la détention si elles permettent d'atteindre le même but que la détention, par exemple l'assignation à résidence ou l'interdiction de se rendre dans un certain lieu ou un certain immeuble (al. 2 let. c), l'obligation de se présenter régulièrement à un service administratif (al. 2 let. d), de se soumettre à un traitement médical ou à des contrôles (al. 2 let. f) et l'interdiction d'entretenir des relations avec certaines personnes (al. 2 let. g). Une assignation à résidence, éventuellement couplée à un bracelet électronique, sert uniquement à s'assurer qu'une personne assignée à résidence ou interdite de périmètre est bien à l'emplacement prescrit aux heures prévues ou, au contraire, n'est pas à un endroit où l'accès lui est interdit (arrêt du Tribunal fédéral 1B_142/2018 du 5 avril 2018 consid. 2.1 et les références citées). Un tel outil ne permet pas de prévenir une fuite en temps réel, mais uniquement de la constater a posteriori (ATF 145 IV 503 consid. 3.3.1). Il n'est en effet pas exclu que le porteur d'un dispositif de surveillance électronique puisse fuir et, notamment, passer une frontière avant que les forces de l'ordre ne parviennent à l'arrêter, en particulier en cas de résidence proche d'une frontière (cf. ATF 145 IV 503 consid. 3.3).</w:t>
      </w:r>
    </w:p>
    <w:p>
      <w:r>
        <w:rPr>
          <w:b/>
        </w:rPr>
        <w:t>E. 4.3</w:t>
      </w:r>
    </w:p>
    <w:p>
      <w:r>
        <w:t>En l'espèce, il faut retenir, comme l'a fait le TMC, que le risque de fuite est tangible, ce que le recourant ne conteste d'ailleurs pas expressément. Au vu de la peine encourue si les infractions reprochées devaient être retenues par le juge du fond, le fait que toute la famille du recourant vive en Suisse, y compris ses deux plus jeunes enfants pour la paternité desquels une procédure serait désormais en cours, ne suffit pas à pallier le risque de fuite, en particulier sous la forme d'un passage dans la clandestinité ou de départ vers un pays autre que la Somalie. Les mesures de substitution proposées, telles que l'obligation de déférer à toute convocation du Pouvoir judiciaire ou celle de vivre au domicile de son père - cette dernière mesure étant au demeurant incompatible avec son absence de statut administratif -, ne permettent certainement pas de pallier le risque retenu, tout au plus de constater a posteriori qu'il se serait réalisé. Aucune autre mesure de substitution n'entre en ligne de compte en l'état. Le grief est là aussi rejeté.</w:t>
      </w:r>
    </w:p>
    <w:p>
      <w:r>
        <w:rPr>
          <w:b/>
        </w:rPr>
        <w:t>E. 5</w:t>
      </w:r>
    </w:p>
    <w:p>
      <w:r>
        <w:t>Le recourant conteste également que le risque de réitération ne puisse être pallié par des mesures de substitution.</w:t>
      </w:r>
    </w:p>
    <w:p>
      <w:r>
        <w:rPr>
          <w:b/>
        </w:rPr>
        <w:t>E. 5.1</w:t>
      </w:r>
    </w:p>
    <w:p>
      <w:r>
        <w:t>L'art. 221 al. 1 let. c CPP, relatif au risque de récidive, dans sa nouvelle teneur au 1 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5.2</w:t>
      </w:r>
    </w:p>
    <w:p>
      <w:r>
        <w:t>En l'espèce, comme relevé par le recourant, l'expertise psychiatrique retient un risque élevé de récidive, pour des infractions contre la vie et l'intégrité corporelles (atteintes physiques, psychiques et sexuelles) de même que contre les biens. Il en découle qu'un risque de réitération - élevé - est établi. Le recourant propose certes, désormais, une interdiction de consommer de l'alcool et des stupéfiants, une obligation de contacter la Fondation M______ pour la mise en place d'un suivi pour traiter sa consommation et sa dépendance aux stupéfiants, de même qu'un suivi ambulatoire auprès de N______ ou CAAP L______ conformément aux recommandations des expertes. Ces dernières relèvent toutefois que le traitement préconisé devrait être un traitement au long cours et qu'il ne serait pas propre à réduire rapidement le risque de récidive, si tant est qu'il ne s'avère pas voué à l'échec, notamment si l'intéressé devait s'y opposer. Le manque de collaboration du recourant à l'expertise est à ce sujet un signe peu encourageant, de même que les condamnations postérieures aux traitements ou suivis thérapeutiques similaires déjà mis en place dans le passé. Même les mesures de substitution nouvellement proposées dans le recours, soit une interdiction de consommer de l'alcool et des stupéfiants, une obligation de se soumettre à des contrôles réguliers et inopinés d'abstinence et une obligation de produire en mains du SRSP, chaque mois, un certificat attestant de la régularité du suivi thérapeutique, n'apparaissent clairement pas suffisantes. Il est en effet relevé que même sous suivi topique, l'abstinence du recourant en cas de mise en liberté paraît en particulier très incertaine au vu de la découverte de plusieurs dizaines de grammes de substance brunâtre dans sa cellule en octobre 2024, dont il a lui-même déclaré qu'il s'agissait de cannabis, d'autant qu'il bénéficie selon ses propres déclarations d'un suivi psychothérapeutique hebdomadaire en détention. Dès lors, nonobstant la volonté affichée du recourant de traiter son addiction et sa violence, une mise en liberté assortie des mesures de substitution proposées apparaît en l'état inapte à pallier le risque élevé de récidive. Aucune autre mesure de substitution n'apparaît envisageable. Le grief est là encore rejeté.</w:t>
      </w:r>
    </w:p>
    <w:p>
      <w:r>
        <w:rPr>
          <w:b/>
        </w:rPr>
        <w:t>E. 6</w:t>
      </w:r>
    </w:p>
    <w:p>
      <w:r>
        <w:t>Au vu des infractions dont le recourant est prévenu, si elles devaient être confirmées, la prolongation de la détention provisoire ne viole par le principe de la proportionnalité. Il appartient toutefois désormais au Ministère public de faire diligence afin que le recourant soit rapidement renvoyé en jugement.</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