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P/8743/2019 vom 24. Juni 2024</w:t>
      </w:r>
    </w:p>
    <w:p>
      <w:r>
        <w:t>GE Cour de justice, 2024-06-24, FR</w:t>
      </w:r>
    </w:p>
    <w:p>
      <w:r>
        <w:rPr>
          <w:b/>
        </w:rPr>
        <w:t xml:space="preserve">Quelle: </w:t>
      </w:r>
      <w:r>
        <w:t>https://mcp.opencaselaw.ch/entscheid/ge_gerichte_P_8743_2019</w:t>
      </w:r>
    </w:p>
    <w:p>
      <w:r>
        <w:t>FR: GE_GERICHTE P/8743/2019 du 24 juin 2024</w:t>
      </w:r>
    </w:p>
    <w:p>
      <w:r>
        <w:t>IT: GE_GERICHTE P/8743/2019 del 24 giugno 2024</w:t>
      </w:r>
    </w:p>
    <w:p>
      <w:pPr>
        <w:pStyle w:val="Heading2"/>
      </w:pPr>
      <w:r>
        <w:t>Regeste</w:t>
      </w:r>
    </w:p>
    <w:p>
      <w:r>
        <w:t>QUALITÉ POUR AGIR ET RECOURIR;MÉDECIN;INDUCTION DE LA JUSTICE EN ERREUR;ENTRAVE À L'ACTION PÉNALE;LÉSION CORPORELLE PAR NÉGLIGENCE;MISE EN DANGER DE LA VIE D'AUTRUI(EN GÉNÉRAL) | CPP.118; CP.304; CP.305; CP.125; CP.127; CP.129; CP.12.al3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ème éd., Bâle 2017, n. 1 ad art. 304). Il en va de même de l'entrave à l'action pénale (art. 305 CP; ACPR/510/2021 du 5 août 2021 consid. 2.2.2). Partant, le recours est irrecevable en tant qu'il porte sur ces chefs d'infraction. Il est recevable au surplus.</w:t>
      </w:r>
    </w:p>
    <w:p>
      <w:r>
        <w:rPr>
          <w:b/>
        </w:rPr>
        <w:t>E. 2.1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 2.2.1. 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2.2.2. En l'espèce, l'induction de la justice en erreur (art. 304 CP) vise exclusivement la protection de la justice pénale (suisse), et non les intérêts privés de la recourante ( ACPR/186/2024 du 13 mars 2024 consid. 1.2.3; A. MACALUSO / L. MOREILLON / N. QUELOZ (éds), Commentaire romand, Code pénal II, vol. II, Partie spéciale : art. 111-392 CP , Bâle 2017, n. 1 ad art. 304; M. DUPUIS / L. MOREILLON / C. PIGUET / S. BERGER / M. MAZOU / V. RODIGARI (éds), Code pénal - Petit commentaire,</w:t>
      </w:r>
    </w:p>
    <w:p>
      <w:r>
        <w:rPr>
          <w:b/>
        </w:rPr>
        <w:t>E. 3</w:t>
      </w:r>
    </w:p>
    <w:p>
      <w:r>
        <w:t>La recourante reproche au Ministère public d'avoir classé la procédure, estimant que l'instruction doit être complétée.</w:t>
      </w:r>
    </w:p>
    <w:p>
      <w:r>
        <w:rPr>
          <w:b/>
        </w:rPr>
        <w:t>E. 3.1</w:t>
      </w:r>
    </w:p>
    <w:p>
      <w:r>
        <w:t>Lorsqu'il estime que l'instruction est complète, le ministère public rend une ordonnance pénale ou informe par écrit les parties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arrêt du Tribunal fédéral 6B_277/2021 du 10 février consid. 2.1).</w:t>
      </w:r>
    </w:p>
    <w:p>
      <w:r>
        <w:rPr>
          <w:b/>
        </w:rPr>
        <w:t>E. 3.2</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arrêt du Tribunal fédéral 6B_116/2019 du 11 mars 2019 consid. 2.1).</w:t>
      </w:r>
    </w:p>
    <w:p>
      <w:r>
        <w:rPr>
          <w:b/>
        </w:rPr>
        <w:t>E. 3.3</w:t>
      </w:r>
    </w:p>
    <w:p>
      <w:r>
        <w:t>L'art. 122 CP réprime le comportement de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 ou défigure une personne d'une façon grave et permanente (let. b) ou encore fait subir à une personne toute autre atteinte à l'intégrité corporelle ou à la santé physique ou mentale (let. c).</w:t>
      </w:r>
    </w:p>
    <w:p>
      <w:r>
        <w:rPr>
          <w:b/>
        </w:rPr>
        <w:t>E. 3.4</w:t>
      </w:r>
    </w:p>
    <w:p>
      <w:r>
        <w:t>L'art. 125 réprime, sur plainte, le comportement de quiconque, par négligence, fait subir à une personne une atteinte à l'intégrité corporelle ou à la santé (al. 1). Si la lésion est grave, l'auteur est poursuivi d'office (al. 2).</w:t>
      </w:r>
    </w:p>
    <w:p>
      <w:r>
        <w:rPr>
          <w:b/>
        </w:rPr>
        <w:t>E. 3.4.1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3.4.2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du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une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3.4.3</w:t>
      </w:r>
    </w:p>
    <w:p>
      <w:r>
        <w:t>S'il y a eu violation des règles de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3.4.4</w:t>
      </w:r>
    </w:p>
    <w:p>
      <w:r>
        <w:t>Il faut ensuite qu'il existe un rapport de causalité entre la violation fautive du devoir de prudence et les lésions subies par la victime (arrêt du Tribunal fédéral 6B_170/2017 précité consid. 2.2).</w:t>
      </w:r>
    </w:p>
    <w:p>
      <w:r>
        <w:rPr>
          <w:b/>
        </w:rPr>
        <w:t>E. 3.5</w:t>
      </w:r>
    </w:p>
    <w:p>
      <w:r>
        <w:t>Les voies de fait, réprimées à l'art. 126 CP, se définissent comme des atteintes physiques qui excèdent ce qui est socialement toléré et qui ne causent ni lésions corporelles, ni dommage à la santé (ATF 134 IV 189 consid. 1.2). Les voies de fait ne peuvent pas être commises par négligence (A. MACALUSO / L. MOREILLON / N. QUELOZ, op. cit. , n. 6 ad art. 126).</w:t>
      </w:r>
    </w:p>
    <w:p>
      <w:r>
        <w:rPr>
          <w:b/>
        </w:rPr>
        <w:t>E. 3.6</w:t>
      </w:r>
    </w:p>
    <w:p>
      <w:r>
        <w:t>L'art. 127 CP réprime, du chef d'exposition, quiconque, ayant la garde d'une personne hors d'état de se protéger elle-même ou le devoir de veiller sur elle, l'expose à un danger de mort ou à un danger grave et imminent pour la santé ou l'abandonne en un tel danger.</w:t>
      </w:r>
    </w:p>
    <w:p>
      <w:r>
        <w:rPr>
          <w:b/>
        </w:rPr>
        <w:t>E. 3.7</w:t>
      </w:r>
    </w:p>
    <w:p>
      <w:r>
        <w:t>Met en danger la vie d'autrui quiconque, sans scrupules, met autrui en danger de mort imminent (art. 129 CP).</w:t>
      </w:r>
    </w:p>
    <w:p>
      <w:r>
        <w:rPr>
          <w:b/>
        </w:rPr>
        <w:t>E. 3.8</w:t>
      </w:r>
    </w:p>
    <w:p>
      <w:r>
        <w:t>En l'espèce, le dossier ne fournit aucun indice qui permettrait de retenir que E______, la Dre C______ et la Dre B______ auraient intentionnellement cherché à porter atteinte à l'intégrité corporelle de la recourante, ou du moins accepté cette éventualité. Ni la plainte ni le recours ne comportent d'ailleurs de développements à ce propos. L'application des art. 122, 127 et 129 CP est dès lors exclue. S'agissant de l'art. 125 CP, la recourante reproche aux précités de lui avoir causé – en violation de leurs obligations de diligence – une réaction allergique ayant mis sa vie en danger. Il n'est tout d'abord pas établi que l'examen réalisé (scanner) n'était pas nécessaire pour connaître l'origine du foyer infectieux détecté chez la recourante, quoi qu'en pense cette dernière. Il ressort ensuite de l'instruction que les professionnels de santé mis en cause – informés par la recourante d'une précédente réaction allergique de niveau 1 aux produits de contraste – ont pris la décision de lui injecter préalablement une ampoule de Tagevyl (antihistaminique), ce qui était, d'après les rapports du Centre F______, conforme aux protocoles en la matière. Ils ont par ailleurs administré à la patiente un produit de contraste différent de celui employé par le Centre F______ afin d’éviter tout risque de réaction allergique, ce qui ressort également des courriers des 30 novembre et 15 décembre 2021 de cette institution. On ne saurait dès lors retenir une quelconque violation des devoirs de prudence. Que la doctoresse radiologue n'ai pas assisté la recourante lors du scanner ne change rien, dans la mesure où il est établi qu'elle a donné des instructions claires dans le sens précité au technicien présent sur place. Par ailleurs, on ne voit pas – et la recourante ne l'étaye nullement dans son recours – quelle règle de prudence aurait été violée par la médecin urgentiste. Elle ne soutient en effet pas que l'injection de l'adrénaline aurait été faite en violation des règles de l'art. Il s'ensuit qu'aucune négligence fautive ne saurait être imputée aux intéressés sous cet angle. La recourante n'établit pas ni ne rend vraisemblable l'existence d'une mise en danger de sa vie provoquée par l'administration du produit de contraste. Il ressort au contraire des éléments du dossier médical et des déclarations concordantes des soignants que ses paramètres vitaux étaient restés stables tout au long de sa prise en charge nonobstant les symptômes allégués. On n'y observe plus particulièrement pas d'hypotension, ni de bronchospasme – symptômes d'une réaction allergique de grade élevé –. La recourante ne remet de surcroit pas en cause qu'une augmentation de ses fréquence cardiaque et tension – constatées à la suite de l'injection d'adrénaline – pouvaient s'expliquer par l'administration de cette substance, voire par un état d'anxiété. Les autres atteintes décrites par la recourante – soit des sensations de brûlures à la suite des injections – n'atteignent enfin pas l'importance nécessaire pour qu'on puisse les qualifier des lésions corporelles. Elles constituent ainsi tout au plus des voies de fait, infraction ne pouvant pas être commise par négligence. Au vu des considérations qui précèdent, l'expertise requise n'est pas pertinente pour constater et apprécier l'état de fait. On ne voit de surcroit pas ce que celle-ci – ordonnée plus de quatre ans et demi après les faits – pourrait révéler de nouveau. On ne saurait dès lors reprocher au Ministère public d'avoir, par une appréciation anticipée des preuves, refusé d'y procéder. Partant, c'est à bon droit que le Ministère public a ordonné le classement de la procédure, s'agissant des faits reprochés à la Dre C______ et E______, et indiqué qu'il n'entendait pas mettre la Dre B______ en prévention.</w:t>
      </w:r>
    </w:p>
    <w:p>
      <w:r>
        <w:rPr>
          <w:b/>
        </w:rPr>
        <w:t>E. 4</w:t>
      </w:r>
    </w:p>
    <w:p>
      <w:r>
        <w:t>La recourante, qui succombe, supportera les frais envers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