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P/8673/2012 vom 17. Oktober 2012</w:t>
      </w:r>
    </w:p>
    <w:p>
      <w:r>
        <w:t>GE Cour de justice, 2012-10-17, FR</w:t>
      </w:r>
    </w:p>
    <w:p>
      <w:r>
        <w:rPr>
          <w:b/>
        </w:rPr>
        <w:t xml:space="preserve">Quelle: </w:t>
      </w:r>
      <w:r>
        <w:t>https://mcp.opencaselaw.ch/entscheid/ge_gerichte_P_8673_2012</w:t>
      </w:r>
    </w:p>
    <w:p>
      <w:r>
        <w:t>FR: GE_GERICHTE P/8673/2012 du 17 octobre 2012</w:t>
      </w:r>
    </w:p>
    <w:p>
      <w:r>
        <w:t>IT: GE_GERICHTE P/8673/2012 del 17 ottobre 2012</w:t>
      </w:r>
    </w:p>
    <w:p>
      <w:pPr>
        <w:pStyle w:val="Heading2"/>
      </w:pPr>
      <w:r>
        <w:t>Regeste</w:t>
      </w:r>
    </w:p>
    <w:p>
      <w:r>
        <w:t>; SÉQUESTRE(MESURE PROVISIONNELLE) ; BIEN CULTUREL ; PRODUIT DE L'INFRACTION | CPP.263; LTBC.28</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et émaner du tiers saisi, qui a un intérêt juridiquement protégé à l'annulation ou à la modification de cette décision (art. 382 al. 1 et 104 al. 1 let. a CPP); enfin, il est formé pour violation du droit, comme la loi le permet (art. 393 al. 2 let. a CPP).</w:t>
      </w:r>
    </w:p>
    <w:p>
      <w:r>
        <w:rPr>
          <w:b/>
        </w:rPr>
        <w:t>E. 2</w:t>
      </w:r>
    </w:p>
    <w:p>
      <w:r>
        <w:t>La Chambre de céans peut décider de rejeter les recours manifestement mal fondés, sans échange d'écritures ni débats (art. 390 al. 2, 1ère phrase, a contrario, CPP). Tel est le cas du présente recours pour les raisons exposées ci-dessous.</w:t>
      </w:r>
    </w:p>
    <w:p>
      <w:r>
        <w:rPr>
          <w:b/>
        </w:rPr>
        <w:t>E. 3</w:t>
      </w:r>
    </w:p>
    <w:p>
      <w:r>
        <w:t>3.1. Selon l'art. 263 al. 1 CPP, des objets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KUHN/Y. JEANNERET (éds), Commentaire romand : Code de procédure pénale suisse, Bâle 2011, n. 17 et 22 ad art. 263).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w:t>
      </w:r>
    </w:p>
    <w:p>
      <w:r>
        <w:rPr>
          <w:b/>
        </w:rPr>
        <w:t>E. 3.2</w:t>
      </w:r>
    </w:p>
    <w:p>
      <w:r>
        <w:t>En l'occurrence, point n'est besoin de longs développements pour constater qu'il résulte de l'enquête effectuée par la Police judiciaire ainsi que des déclarations faites à cette dernière par le recourant que celui-ci possédait et a mis en vente, sur le site Internet "______.ch", pour la somme de 8'000 fr., une C______ censée être un objet archéologique ______ "100 % authentique", mais dont la provenance et l'authenticité sont douteuses. Il est ainsi probable que la C______ saisie devra être confisquée, sur la base de l'art. 69 CP si elle est fausse - parce qu'elle devait alors servir à commettre une infraction, en l'occurrence une escroquerie - et en vertu des art. 69 CP et/ou 28 LTBC si elle se révélait authentique, devant alors être, selon toute vraisemblance, le produit d'un vol d'un bien culturel, voire du recel d'un tel bien. Il appartiendra à l'instruction, le cas échéant, d'éclaircir ces points. C'est donc en parfaite conformité avec tant l'art. 263 CPP que le principe de la proportionnalité que le Ministère public a ordonné le séquestre de la C______ dont le recourant était détenteur. Justifiée, l'ordonnance querellée sera, dès lors confirmée et, partant, le recours, pour le moins téméraire, rejeté.</w:t>
      </w:r>
    </w:p>
    <w:p>
      <w:r>
        <w:rPr>
          <w:b/>
        </w:rPr>
        <w:t>E. 4</w:t>
      </w:r>
    </w:p>
    <w:p>
      <w:r>
        <w:t>En tant qu'il succombe dans son recours, pour le moins téméraire, A______ supportera les frais de la procédure (art.428 al.1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