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P/8652/2021 vom 12. Juni 2023</w:t>
      </w:r>
    </w:p>
    <w:p>
      <w:r>
        <w:t>GE Cour de justice, 2023-06-12, FR</w:t>
      </w:r>
    </w:p>
    <w:p>
      <w:r>
        <w:rPr>
          <w:b/>
        </w:rPr>
        <w:t xml:space="preserve">Quelle: </w:t>
      </w:r>
      <w:r>
        <w:t>https://mcp.opencaselaw.ch/entscheid/ge_gerichte_P_8652_2021</w:t>
      </w:r>
    </w:p>
    <w:p>
      <w:r>
        <w:t>FR: GE_GERICHTE P/8652/2021 du 12 juin 2023</w:t>
      </w:r>
    </w:p>
    <w:p>
      <w:r>
        <w:t>IT: GE_GERICHTE P/8652/2021 del 12 giugno 2023</w:t>
      </w:r>
    </w:p>
    <w:p>
      <w:pPr>
        <w:pStyle w:val="Heading2"/>
      </w:pPr>
      <w:r>
        <w:t>Regeste</w:t>
      </w:r>
    </w:p>
    <w:p>
      <w:r>
        <w:t>LEI.115; LEp.83; LStup.19; LStup.19a</w:t>
      </w:r>
    </w:p>
    <w:p>
      <w:pPr>
        <w:pStyle w:val="Heading2"/>
      </w:pPr>
      <w:r>
        <w:t>Erwägungen</w:t>
      </w:r>
    </w:p>
    <w:p>
      <w:r>
        <w:rPr>
          <w:b/>
        </w:rPr>
        <w:t>E. 1</w:t>
      </w:r>
    </w:p>
    <w:p>
      <w:r>
        <w:t>L'appel est recevable pour avoir été interjeté et motivé selon la forme et dans les délais prescrits (art. 398 et 399 du CPP).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2.2</w:t>
      </w:r>
    </w:p>
    <w:p>
      <w:r>
        <w:t>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/L. MOREILLON / C. PIGUET / S. BERGER / M. MAZOU / V. RODIGARI, Petit commentaire du Code pénal , 2ème éd., 2017, n. 3 ad art. 41). En effet, dans le cadre du jugement, les tribunaux doivent évaluer les chances d'exécution d'une peine pécuniaire. Il convient de noter que l'exécution de la peine pécuniaire doit se faire en premier lieu par un paiement volontaire. Ce n'est qu'en cas de non-paiement dans le délai imparti que la peine pécuniaire est exécutée par la voie de la poursuite, si l'on peut en attendre un résultat (ATF 134 IV 60 consid. 8.3). La directive 2008/115/CE du Parlement européen et du Conseil du 16 décembre 2008 relative aux normes et procédures communes applicables dans les Etats membres au retour des ressortissants de pays tiers en séjour irrégulier, intégrée au droit suisse par l'arrêté fédéral du 18 juin 2010 (RO 2010 5925) et la jurisprudence de la Cour de justice de l'union européenne y relative (arrêt du 28 avril 2011 C-61/11 PPU EL DRIDI), pouvant faire obstacle au prononcé d'une peine privative de liberté, n'est pas applicable aux ressortissants des pays tiers ayant commis un ou plusieurs autres délits en dehors du droit pénal des étrangers (ATF 143 IV 264 consid. 2.6).</w:t>
      </w:r>
    </w:p>
    <w:p>
      <w:r>
        <w:rPr>
          <w:b/>
        </w:rPr>
        <w:t>E. 2.3</w:t>
      </w:r>
    </w:p>
    <w:p>
      <w:r>
        <w:t>En l'espèce, l'appelant a persisté à pénétrer illégalement en Suisse, et plus particulièrement à Genève, bien que conscient de l'illicéité de sa situation sur le territoire puisqu'une décision d'interdiction d'entrée en Suisse lui avait préalablement été notifiée et qu'il avait été refoulé en Italie à quatre reprises en application des accords Dublin ayant été condamné par le passé pour des faits similaires. Dans ces circonstances, prétendre qu'il n'avait pas compris avant cette procédure qu'il n'avait pas le droit de revenir en Suisse n'est pas crédible. Par ailleurs, il a participé à un trafic de stupéfiants portant sur de la cocaïne, qui représente un véritable fléau pour la santé publique. Il a également fait fi des mesures de protection mises en place par la Suisse et destinées à lutter contre l'épidémie de COVID-19. De par son comportement, il a ainsi manifesté un mépris certain des règles en vigueur, banalisé les décisions prononcées à son encontre et témoigné, de par sa persévérance, une volonté délictuelle prononcée. Ses antécédents sont nombreux et spécifiques avec des récidives tant en matière de LStup que de LEI. Nonobstant les faits à l'origine de la présente procédure pénale, il a encore été condamné pour le même type d'infractions en août 2022. Ainsi, sa prise de conscience ne semble pas débutée. Ses précédentes condamnations, tant à des peines pécuniaires qu'à des peines privatives de liberté, ne semblent avoir eu aucun effet dissuasif. Ses arguments ne sont pas pertinents dans la mesure où il disposait déjà d'un titre de séjour et d'un emploi en Italie au moment des faits litigieux (et de sa récidive en août 2022). Il s'est toutefois entêté à agir de manière illicite et à venir en Suisse où il ne bénéficie d'aucune situation stable et d'aucune perspective de gain licite dans le seul but d'y commettre des infractions. Seul l'appât du gain facile et la volonté d'agir selon sa convenance personnelle semblent dicter ses agissements. En conséquence, il ne peut pas se prévaloir de sa situation personnelle "actuelle" pour soutenir qu'une peine pécuniaire serait aussi dissuasive qu'une peine privative de liberté et remplirait son rôle de prévention. À cela s'ajoute sa résidence à l'étranger qui génère des complications à recouvrer une peine pécuniaire et rend la poursuite pour dette assurément plus difficile. L'appelant, qui n'a aucune source de revenu en Suisse ni fortune, n'a pas fourni de sûretés. Dans ces conditions, l'exécution de la peine pécuniaire est plus qu'incertaine. Même s'il s'exposerait à devoir exécuter sa sanction sous forme d'une peine privative de liberté de substitution (art. 36 CP), cette seule perspective semble insuffisante. L'appelant se prévaut d'un revenu mensuel de EUR 1'500.- mais ses dires ne sont corroborés par aucune pièce. Le prononcé d'une peine privative de liberté apparaît ainsi seul à même de le détourner de la commission d'un nouveau délit sous l'angle de la prévention spéciale, étant précisé que la Directive européenne sur le retour n'est pas applicable à l'appelant dans la mesure où il s'est rendu coupable d'un délit à la LStup. La sanction prononcée le 25 août 2022 étant d'un autre genre, il n'y a pas lieu d'appliquer l'art. 49 CP. En vertu de ce qui précède, la quotité de la peine prononcée, non contestée en appel, est de surcroît appropriée et sera confirmée. Il en va de même pour le choix du type de sanction.</w:t>
      </w:r>
    </w:p>
    <w:p>
      <w:r>
        <w:rPr>
          <w:b/>
        </w:rPr>
        <w:t>E. 2.4</w:t>
      </w:r>
    </w:p>
    <w:p>
      <w:r>
        <w:t>L'amende de CHF 100.- et la peine privative de liberté de substitution d'un jour pour sanctionner les infractions à l'art. 19a LStup ne sont pas contestées en appel et seront confirmées.</w:t>
      </w:r>
    </w:p>
    <w:p>
      <w:r>
        <w:rPr>
          <w:b/>
        </w:rPr>
        <w:t>E. 2.5</w:t>
      </w:r>
    </w:p>
    <w:p>
      <w:r>
        <w:t>Les mesures de confiscation, de destruction, de séquestre et de compensation, non remises en cause en appel, seront confirmées.</w:t>
      </w:r>
    </w:p>
    <w:p>
      <w:r>
        <w:rPr>
          <w:b/>
        </w:rPr>
        <w:t>E. 3</w:t>
      </w:r>
    </w:p>
    <w:p>
      <w:r>
        <w:t>L'appelant, qui succombe, supportera les frais de la procédure envers l'État lesquels comprennent un émolument de CHF 1'000.- (art. 428 al. 2 let. b CPP et 14 al. 1 let. e du règlement fixant le tarif des frais en matière pénale [RTFMP] ).</w:t>
      </w:r>
    </w:p>
    <w:p>
      <w:r>
        <w:rPr>
          <w:b/>
        </w:rPr>
        <w:t>E. 4.1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disposition prescrit que le tarif horaire est de CHF 110.-/h pour l'avocat stagiaire (let. a) et de CHF 200.- (let. c) pour un chef d'étude, débours de l'étude inclus. Conformément à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 ACPR/354/2020 du 28 mai 2020). Ainsi, le temps effectivement consacré à l'étude du dossier sera pris en compte, pour autant que cette activité réponde à l'exigence de nécessité. D'autant plus de retenue s'imposera à cet égard que la constitution de l'avocat est ancienne de sorte qu'il est censé bien connaître la cause et/ou que le dossier n'a pas connu de développements particuliers ( ACPR/354/2020 du 28 mai 2020). L’activité consistant en des recherches juridiques n'est pas indemnisée, sauf questions particulièrement pointues, l'État ne devant pas assumer la charge financière de la formation (continue) de l'avocat breveté/stagiaire ( ACPR/711/2021 du 21 octobre 2021).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w:t>
      </w:r>
    </w:p>
    <w:p>
      <w:r>
        <w:rPr>
          <w:b/>
        </w:rPr>
        <w:t>E. 4.3</w:t>
      </w:r>
    </w:p>
    <w:p>
      <w:r>
        <w:t>En l'occurrence, l'appelant conteste uniquement le genre de peine qui lui a été infligé. Ainsi, si l'on peut admettre le premier entretien téléphonique d'une heure avec le client en sus du forfait courriers/téléphones en raison de la constitution de l'avocat uniquement au stade de l'appel, rien ne justifie un second entretien téléphonique de 45 minutes en sus du forfait. En outre, une durée de huit heures pour le poste "Etude dossier" est disproportionnée compte tenu de son volume, de la faible difficulté juridique et factuelle de la cause et du seul point encore litigieux en seconde instance, de sorte que ce poste sera réduit à quatre heures d'activité. Pour les mêmes raisons, seules quatre heures seront indemnisées au titre de rédaction du mémoire d'appel. Le temps consacré aux recherches juridiques ne saurait être indemnisé, y compris "à bien plaire" dans la mesure où l'on ne peut considérer que des recherches excédant le seuil de la formation continue d'un avocat se justifiaient en l'espèce. Conformément à la jurisprudence (cf. supra consid. 4.2), le temps consacré à l'établissement du chargé de pièces ne sera pas indemnisé en sus du forfait. En conclusion, la rémunération sera arrêtée à CHF 1'896.60 correspondant à deux heures et 15 minutes d'activité au tarif de CHF 200.-/h et neuf heures et 45 minutes d'activité au tarif de CHF 110.-/h plus la majoration forfaitaire de 20% (soit CHF 293.5) et l'équivalent de la TVA au taux de 7.7% en CHF 135.60.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