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P/8636/2019 vom 22. März 2022</w:t>
      </w:r>
    </w:p>
    <w:p>
      <w:r>
        <w:t>GE Cour de justice, 2022-03-22, FR</w:t>
      </w:r>
    </w:p>
    <w:p>
      <w:r>
        <w:rPr>
          <w:b/>
        </w:rPr>
        <w:t xml:space="preserve">Quelle: </w:t>
      </w:r>
      <w:r>
        <w:t>https://mcp.opencaselaw.ch/entscheid/ge_gerichte_P_8636_2019</w:t>
      </w:r>
    </w:p>
    <w:p>
      <w:r>
        <w:t>FR: GE_GERICHTE P/8636/2019 du 22 mars 2022</w:t>
      </w:r>
    </w:p>
    <w:p>
      <w:r>
        <w:t>IT: GE_GERICHTE P/8636/2019 del 22 marzo 2022</w:t>
      </w:r>
    </w:p>
    <w:p>
      <w:pPr>
        <w:pStyle w:val="Heading2"/>
      </w:pPr>
      <w:r>
        <w:t>Regeste</w:t>
      </w:r>
    </w:p>
    <w:p>
      <w:r>
        <w:t>CP.144</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Dommages à la propriété (art. 144 al. 1 CP) 2.2.1. Selon l'art. 144 al. 1 CP, se rend coupable de dommage à la propriété celui qui aura endommagé, détruit ou mis hors d'usage une chose appartenant à autrui ou frappée d'un droit d'usage ou d'usufruit au bénéfice d'autrui et sera puni sur plainte. 2.2.2. Dans son mémoire d'appel, l'appelant discute et conteste principalement l'utilisation d'une fourche – ou de tout autre outil – pour ouvrir la fenêtre. Or, l'examen de cette question ne serait pas nécessaire puisque l'usage d'un objet, en particulier d'une fourche, ne figure pas à l'acte d'accusation, qui se borne à indiquer que l'intéressé a forcé la fenêtre " au moyen de ses mains et de son dos ", ce que ce dernier n'a jamais contesté, à tout le moins s'agissant de l'usage de ses mains. Certes, les photographies versées à la procédure ne permettent pas d'appréhender précisément le type de dommage causé à la fenêtre. Cela étant, le rapport de police indique que les agents intervenus ont, dès leur arrivée sur place, constaté que ladite fenêtre avait été " forcée et ouverte " et non qu'elle était simplement ouverte, ce qui sous-entend déjà l'existence d'un dommage. La mise en œuvre d'un serrurier achève de confirmer que la fenêtre a été endommagée, cette intervention n'ayant pas été requise si tel n'avait pas été le cas, ce que les policiers auraient constaté. Il sera ainsi considéré comme établi que l'appelant a, à tout le moins par poussée, forcé la fenêtre de la villa des plaignants C______/D______ et que celle-ci a été endommagée. Sa culpabilité du chef de dommages à la propriété (art. 144 al. 1 CP) sera partant confirmée et son appel rejeté sur ce point. Vol (art. 139 ch. 1 CP) 2.3.1. L'art. 139 ch. 1 CP réprime le comportement de celui qui, pour se procurer ou procurer à un tiers un enrichissement illégitime, aura soustrait une chose mobilière appartenant à autrui dans le but de se l'approprier. 2.3.2. Vu les déclarations concordantes des parties, il est tout d'abord considéré comme établi que l'appelant a été surpris par le plaignant alors qu'il s'était introduit sans autorisation dans son véhicule, qui était ouvert, et qu'il se trouvait sur le siège arrière, l'intéressé justifiant son comportement par le fait qu'il était fatigué et malade. Leurs récits divergent toutefois sur la suite des événements, en particulier sur la question de savoir si l'appelant a dérobé le porte-monnaie du plaignant qui se trouvait, selon les déclarations de ce dernier, dans une mallette à l'arrière de la voiture. Dans son mémoire d'appel, l'appelant conteste encore sa culpabilité du chef de vol en arguant que le plaignant n'avait pu, compte tenu des circonstances et en particulier dans la mesure où il n'avait pas contacté la police, qu'avoir vérifié le contenu de la mallette et constaté que rien ne manquait. L'appelant a contesté sa culpabilité de manière constante durant toute la procédure. Cependant, il a livré des versions différentes au fil de ses auditions s'agissant de ses interactions avec la partie plaignante et son épouse après, affirmant tout d'abord leur avoir lui-même suggéré de vérifier que rien ne manquait dans leur véhicule, puis que le plaignant E______ l'avait fouillé et, enfin, que ce dernier avait en réalité ouvert la mallette dans laquelle se trouvait le porte-monnaie devant lui. Le seul point commun de ces versions est l'absence d'une constatation de la part du plaignant de la disparition du porte-monnaie. Ses explications s'agissant de sa présence dans le véhicule, soit qu'il souhaitait uniquement s'y reposer, ne sont pas crédibles. A l'opposé, le plaignant a contesté avoir contrôlé le contenu de sa mallette alors qu'il se trouvait encore avec l'appelant. Ce n'était qu'une fois qu'il n'avait plus été en présence du prévenu qu'il avait découvert que son porte-monnaie avait disparu. Rien ne permet de douter de la crédibilité de ce récit. D'une part, le plaignant n'a pas varié dans ses déclarations contrairement à l'appelant. D'autre part, il n'avait aucun intérêt à accuser faussement ce dernier du vol du porte-monnaie et de l'argent qu'il contenait, n'étant en mesure de récupérer les sommes en question ni auprès de son assurance, ni de l'appelant compte tenu de sa situation financière, étant relevé qu'il ne fait d'ailleurs même pas valoir de conclusions civiles à l'encontre de ce dernier. A cela s'ajoute encore que, quatre jours après les faits, l'appelant a été arrêté en possession d'EUR 460.-, ce qui apparaît incompatible avec sa situation financière particulièrement précaire, mais coïncide avec le montant d'EUR 500.- qui se trouvait dans le porte-monnaie de la partie plaignante selon les déclarations de cette dernière. Il existe dès lors un faisceau d'indices convergents permettant de retenir que l'appelant a bien pénétré dans le véhicule du plaignant dans le but d'y dérober des biens, ce qu'il a fait en emportant le porte-monnaie et l'argent qu'il contenait. Pour le surplus, quand bien même le plaignant aurait effectivement vérifié le contenu de la mallette en question devant l'appelant sans signaler la disparition du porte-monnaie, cela ne permettrait pas encore d'en déduire qu'aucun vol n'a été commis, vu les circonstances et notamment le caractère particulièrement inattendu et saisissant de la situation. Il ne ressort pas non plus de la photographie prise par l'épouse du plaignant que l'appelant " prenait la pose " comme il l'affirme, même s'il est de face et regarde l'objectif. L'on voit d'ailleurs mal pour quelle raison il aurait accepté d'être pris en photo par le couple qui venait de le surprendre dans leur voiture. Quoi qu'il en soit et même si tel avait été le cas, cette photographie ne suffirait pas, à elle seule, à exclure sa culpabilité. Au regard de ce qui précède, la culpabilité de l'appelant du chef de vol sera confirmée et son appel rejeté sur ce point également.</w:t>
      </w:r>
    </w:p>
    <w:p>
      <w:r>
        <w:rPr>
          <w:b/>
        </w:rPr>
        <w:t>E. 3.1</w:t>
      </w:r>
    </w:p>
    <w:p>
      <w:r>
        <w:t>Le vol simple est sanctionné par une peine privative de liberté de cinq ans au plus ou d’une peine pécuniaire, étant rappelé qu’en cas de tentative, le juge peut atténuer la peine (art. 22 al. 1 CP). Les infractions de dommages à la propriété, de violation de domicile, de faux dans les certificats et de rupture de ban sont passibles d'une peine privative de liberté de trois ans au plus ou par une peine pécuniaire. La violation de l'arrêté COVID-19 est quant à elle réprimée par une amende (art. 40 de la loi fédérale sur les épidémies [LEp]).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3.3.1. La faute de l'appelant n'est pas négligeable. Il a porté atteinte au patrimoine ainsi qu'à la sphère privée d'autrui à plusieurs reprises, a persisté à demeurer sur le territoire suisse malgré la mesure d'expulsion ordonnée à son encontre et n'a pas hésité à fournir une fausse identité à des agents de police et à violer l'obligation de port du masque de protection visant à protéger la santé publique en période de pandémie, témoignant ainsi du peu de considération dont il fait preuve pour les autorités et l'ordre public. Ses agissements se sont étalés sur une très courte période pénale de quelques mois pour les infractions commises au préjudice des parties plaignantes et la violation de l'arrêté COVID-19 et sur deux ans pour ce qui est des multiples ruptures de ban. Malgré plusieurs interpellations successives, il n'a pas hésité à reproduire ses agissements, sans égard pour les parties plaignantes et la collectivité publique. L'appelant a fait ainsi montre d'un ancrage persistant dans la délinquance. Sa collaboration a été mitigée, il pouvait difficilement contester les faits établis par des constatations survenues en flagrant délit. Au vu de ses déclarations contradictoires et non étayées, ses allégués quant à sa situation personnelle ne sont pas établis, en particulier s'agissant du logement dont il affirme bénéficier en France chez son cousin et des démarches qu'il dit souhaiter entreprendre dans ce pays en vue de la régularisation de son statut administratif. Rien ne permet ainsi de retenir qu'il aurait l'intention de renoncer définitivement à entrer à nouveau sur le territoire. Si sa situation personnelle apparaît précaire et peut expliquer en partie ses actes sans toutefois les justifier, la prolongation de sa présence en Suisse ne pourra que le maintenir dans ce statut, qui l'a poussé à des activités illicites. Dans ce contexte, sa prise de conscience apparaît très relative, voire nulle. Ses antécédents sont nombreux et spécifiques pour la plupart. 3.3.2. Dans la mesure où le parcours de l'appelant démontre que les sanctions prononcées jusqu'ici n'ont eu que des effets très limités, voire nuls, sur ses agissements illicites, seule une peine privative de liberté apparaît apte à remplir le rôle de prévention spéciale. L'infraction abstraitement la plus grave, soit le vol du 9 juin 2019, commande à elle seule le prononcé d'une peine privative de liberté de quatre mois, à laquelle doit s'ajouter cinq mois pour les multiples ruptures de ban (peine hypothétique de trois mois), un mois pour la tentative de vol (peine hypothétique de deux mois), un mois pour le faux dans les certificats (peine hypothétique de deux mois), 15 jours pour la violation de domicile (peine hypothétique d'un mois) et 15 jours pour les dommages à la propriété (peine hypothétique d'un mois). La peine d'ensemble doit ainsi être arrêtée à un an de peine privative de liberté. En vertu du principe de l'interdiction de la reformatio in pejus , c'est néanmoins la peine privative de liberté de neuf mois, sous déduction de la détention avant jugement, prononcée par le premier juge qui sera confirmée. L'appelant ne plaide à raison pas l'octroi du sursis, le pronostic sur son comportement futur étant manifestement défavorable vu ses nombreux antécédents, son ancrage dans la délinquance et l'absence de prise de conscience. 3.3.3. L'amende de CHF 100.- sanctionnant l'infraction à l'arrêté COVID-19, non contestée par l'appelant, consacre une application correcte de la loi et sera confirmée, de même que la peine privative de liberté de substitution d'un jour (art. 42 al. 4 et 106 al. 2 et 3 CP).</w:t>
      </w:r>
    </w:p>
    <w:p>
      <w:r>
        <w:rPr>
          <w:b/>
        </w:rPr>
        <w:t>E. 4</w:t>
      </w:r>
    </w:p>
    <w:p>
      <w:r>
        <w:t>4.1.1. Selon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vol en lien avec une violation de domicile (let. d).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(al. 2). 4.1.2. L'art. 66a al. 2 CP définit une " Kannvorschrift ",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146 IV 105 consid. 3.4.2 p. 108; 144 IV 332 consid. 3.3). 4.1.3.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4.2.1. En l'espèce, l'appelant tombe sous le coup d'une expulsion obligatoire, puisqu'il s'est rendu coupable de tentative de vol en lien avec une violation de domicile. Il n'apparaît pas qu'une expulsion soit de nature à mettre l'appelant dans une situation personnelle grave, ni que son intérêt privé l'emporte sur celui de la Suisse à le voir être expulsé. Il n'entretient aucun lien particulier avec le pays, où il a certes résidé durant six ans, mais en situation illégale. Il y est sous le coup d'une expulsion et il n'y a aucun projet, ni famille alors qu'il a déjà été condamné à sept reprises, sans compter la présente condamnation. Par ailleurs, le dossier ne révèle aucunement qu'un retour dans son pays d'origine, où réside sa famille et où il bénéficierait d'un diplôme d'horticulture, puisse le mettre dans une situation personnelle grave, rien n'étant plaidé en ce sens. La maladie évoquée en cours de procédure n'est pas étayée, de même qu'une prétendue impossibilité de recevoir un traitement adapté en Algérie. Dans ces circonstances, l'appelant ne peut faire valoir aucun intérêt prépondérant à demeurer en Suisse face à l'intérêt public manifeste à son expulsion en raison de ses agissements. Ceux-ci dénotent en effet un mépris certain pour le patrimoine d'autrui, mais aussi pour les décisions des autorités judiciaires, sans compter qu'ils causent un préjudice à la collectivité. La durée de l'expulsion fixée par le premier juge est particulièrement clémente puisqu'il aurait, en vertu de l'art. 66b al. 2 CP, pu la prononcer à vie. La Cour étant néanmoins liée par l'interdiction de la reformatio in pejus , l'expulsion de sept ans ordonnée par le TP sera confirmée. 4.2.2. Cela étant, il n'y a cependant pas lieu d'étendre la mesure d'expulsion prononcée à l'ensemble de l'espace Schengen, une telle extension n'étant pas nécessaire pour garantir la sécurité publique.</w:t>
      </w:r>
    </w:p>
    <w:p>
      <w:r>
        <w:rPr>
          <w:b/>
        </w:rPr>
        <w:t>E. 5.1</w:t>
      </w:r>
    </w:p>
    <w:p>
      <w:r>
        <w:t>L'appelant, qui succombe entièrement, supportera les frais de la procédure d'appel, soit CHF 1'175.- y compris un émolument de jugement de CHF 1'000.-, dans leur totalité (art. 428 al. 1 CPP et art. 14 al. 1 let. e du Règlement fixant le tarif des frais en matière pénale [RTFMP]).</w:t>
      </w:r>
    </w:p>
    <w:p>
      <w:r>
        <w:rPr>
          <w:b/>
        </w:rPr>
        <w:t>E. 5.2</w:t>
      </w:r>
    </w:p>
    <w:p>
      <w:r>
        <w:t>Les frais de la procédure préliminaire et de première instance, y compris l'émolument de jugement complémentaire de CHF 600.- prononcé par le TP, demeureront à sa charge (art. 426 al. 1 CPP).</w:t>
      </w:r>
    </w:p>
    <w:p>
      <w:r>
        <w:rPr>
          <w:b/>
        </w:rPr>
        <w:t>E. 6</w:t>
      </w:r>
    </w:p>
    <w:p>
      <w:r>
        <w:t>6.1.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w:t>
      </w:r>
    </w:p>
    <w:p>
      <w:r>
        <w:rPr>
          <w:b/>
        </w:rPr>
        <w:t>E. 6.2</w:t>
      </w:r>
    </w:p>
    <w:p>
      <w:r>
        <w:t>En l'occurrence, l'activité déployée par M e B______ au titre de l'examen du dossier et de la rédaction du mémoire d'appel est excessive compte tenu du contenu de l'écriture ainsi que de la nature et de la complexité de la cause dans un dossier censé par ailleurs être maîtrisé pour avoir été plaidé en première instance cinq mois plus tôt. En conclusion, la rémunération sera arrêtée à CHF 1'357.- correspondant à cinq heures d'activité au tarif de CHF 200.-/heure (CHF 1'000.-) et 20 minutes d'activité au tarif de CHF 150.-/heure (CHF 50.-), plus la majoration forfaitaire de 20% (CHF 210.-) et l'équivalent de la TVA au taux de 7.7% en CHF 97.-.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