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P/8634/2016 vom 28. Juni 2019</w:t>
      </w:r>
    </w:p>
    <w:p>
      <w:r>
        <w:t>GE Cour de justice, 2019-06-28, FR</w:t>
      </w:r>
    </w:p>
    <w:p>
      <w:r>
        <w:rPr>
          <w:b/>
        </w:rPr>
        <w:t xml:space="preserve">Quelle: </w:t>
      </w:r>
      <w:r>
        <w:t>https://mcp.opencaselaw.ch/entscheid/ge_gerichte_P_8634_2016</w:t>
      </w:r>
    </w:p>
    <w:p>
      <w:r>
        <w:t>FR: GE_GERICHTE P/8634/2016 du 28 juin 2019</w:t>
      </w:r>
    </w:p>
    <w:p>
      <w:r>
        <w:t>IT: GE_GERICHTE P/8634/2016 del 28 giugno 2019</w:t>
      </w:r>
    </w:p>
    <w:p>
      <w:pPr>
        <w:pStyle w:val="Heading2"/>
      </w:pPr>
      <w:r>
        <w:t>Regeste</w:t>
      </w:r>
    </w:p>
    <w:p>
      <w:r>
        <w:t>IN DUBIO PRO REO CIRCULATION ROUTIÈRE(DROIT DE LA CIRCULATION ROUTIÈRE) ; DÉLIT DE CHAUFFARD ; SURSIS À L'EXÉCUTION DE LA PEINE ; FRAIS DE LA PROCÉDURE ; ASSISTANCE JUDICIAIRE | LCR.90.al3; LCR.90.al4; cp.42.al1; cpp.135.al1; cpp.428</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(arrêt du Tribunal fédéral 6B_804/2017 du 23 mai 2018 consid. 2.2.3.3 destiné à la publication).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 2.1.2.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2.1.3. L'art. 6 par. 3 let. d de la Convention de sauvegarde des droits de l'homme et des libertés fondamentales (RS 0.101 ; CEDH) exclut qu'un jugement pénal soit fondé sur les déclarations de témoins sans qu'une occasion appropriée et suffisante soit au moins une fois offerte au prévenu de mettre ces témoignages en doute et d'interroger les témoins, à quelque stade de la procédure que ce soit. Ce droit est absolu lorsque la déposition du témoin en cause est d'une importance décisive, notamment lorsqu'il est le seul témoin, ou que sa déposition constitue une preuve essentielle.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(arrêt du Tribunal fédéral 6B_1310/2016 du 13 décembre 2017 consid. 2.1 et les références citées).</w:t>
      </w:r>
    </w:p>
    <w:p>
      <w:r>
        <w:rPr>
          <w:b/>
        </w:rPr>
        <w:t>E. 2.1</w:t>
      </w:r>
    </w:p>
    <w:p>
      <w:r>
        <w:t>En l'espèce, la faute de l'appelant est importante dans la mesure où il a violé les règles fondamentales de la circulation routière en dépassant la vitesse autorisée de 51 km/h, sans se soucier du danger que représentait un tel comportement pour les autres usagers de la route, alors que la vitesse était limitée à 40 km/h à proximité immédiate du poste frontière de l'autoroute reliant la Suisse à la France. Il est relevé que l'appelant a fait l'objet de la peine plancher prévue par la disposition légale, qui n'est, en tant que telle, remise en cause par aucune partie en cas de déclaration de culpabilité, et que seule est encore litigieuse la question de la mise au bénéfice du sursis de l'appelant en fonction du pronostic à émettre. Les considérations suivantes doivent être relevées : Avant les faits, l'appelant avait, deux ans auparavant, fait l'objet en Suisse d'une condamnation à une peine de 30 jours-amende à CHF 30.- le 9 décembre 2013 pour conduite d'un véhicule sans le permis de conduire requis, violation simple des règles de la LCR et entrée illégale par négligence, de même que d'une autre, en France, en juin 2013 pour violence domestique sans que l'on ne sache à quelle période remontaient ces faits. En décembre 2015, il était désormais séparé de sa compagne tout en entretenant des relations avec sa fille, et, âgé de 33 ans, occupait un emploi [auprès de] O_____. A l'exception des deux condamnations précitées, il n'en avait plus eu depuis 6 ans et demi, la dernière d'entre elle remontant à juin 2009. En regard des 18 condamnations figurant à son casier judiciaire français, ce qui précède témoigne que l'appelant avait très vraisemblablement dès 2009 modifié considérablement son mode de vie en cherchant à ne plus s'attirer les foudres de la justice, ce qu'il n'a pu totalement éviter toutefois. L'appelant n'a certes pas collaboré à la procédure et a fait des déclarations fantaisistes sur son implication dans les fait reproché tout en se refusant à se présenter devant le premier juge, ce qui témoigne autant d'un manque de prise de conscience que de sa difficulté à reconnaître un comportement délictueux. Cela étant, il ne ressort pas de ce qui précède que cela suffise à considérer que le pronostic à émettre sur le comportement futur de l'appelant soit nécessairement défavorable. Contrairement à ce qu'a retenu le premier juge, l'appelant n'a pas été condamné à des peines égales ou supérieures à 6 mois dans les 5 années précédant les faits, la question de l'octroi du sursis ne nécessitant pas la présence de circonstances particulièrement favorables. D'une part, s'il existe bien un antécédent en matière de circulation routière, il n'apparaît pas que les faits incriminés aient été d'une gravité particulière et une absence du permis requis n'a pas été retenue dans la présente affaire. Par ailleurs, le second antécédent lié à un contexte conjugal en rapport auquel la situation a certainement évolué, ne permet pas non plus de retenir comme inéluctable la commission de nouvelles infractions. L'appelant a démontré par le passé savoir évoluer, à tout le moins partiellement. Dans ce contexte, la condamnation à une peine privative de liberté d'un an, même assortie du sursis, apparaît comme fortement dissuasive par rapport à une hypothétique réitération, ce d'autant plus qu'une révocation du sursis accordé le 9 décembre 2013, à prendre en compte dans l'appréciation de l'octroi du sursis à la nouvelle peine, permettra également à l'intéressé de mieux prendre conscience des effets qui y sont liés. En considération de ce qui précède, le pronostic n'étant ainsi pas défavorable, mais tout au plus incertain, cela conduit la CPAR à admettre l'appel sur ce point, le sursis étant accordé et le jugement annulé, un délai d'épreuve de quatre ans constituant une cautèle supplémentaire en vue d'éviter la récidive.</w:t>
      </w:r>
    </w:p>
    <w:p>
      <w:r>
        <w:rPr>
          <w:b/>
        </w:rPr>
        <w:t>E. 2.2</w:t>
      </w:r>
    </w:p>
    <w:p>
      <w:r>
        <w:t>En l'espèce, la CPAR retient les éléments suivants : Contrairement à ce qui est soutenu par l'appelant, les déclarations de D______ ne sont ni incohérentes, ni truffées de contradictions au point qu'elles ne sauraient être retenues à charge. Au contraire, il ressort tant de sa déclaration à la police française le 20 décembre 2015, que de son courrier du 7 février 2016 et ses déclarations subséquentes devant le premier juge, qu'il a toujours soutenu que A______ avait conduit son véhicule lors du retour de la virée à Genève durant tout le trajet. Ce n'est pas la confusion de dates qu'il a initialement faite devant le premier juge, d'ailleurs corrigée en relevant qu'il se souvenait plus précisément de celle-ci en rapport à son courrier précité, et relative à la date précise de cette venue qui remet en cause cette appréciation. En effet, nul doute que D______ s'est bien constamment exprimé sur les circonstances des évènements survenus les 19 et 20 décembre 2015 au vu des détails donnés au premier juge quant à l'enchaînement des évènements et l'interpellation subséquente en France. Nulle contradiction ne ressort non plus du fait qu'il a déclaré à la police française avoir conduit initialement le véhicule, étant relevé qu'il a toujours soutenu l'avoir fait lors du trajet aller, ce à quoi peut parfaitement correspondre sa réponse faite à la police française le 20 décembre 2015. En conséquence, il n'y a pas lieu d'écarter ces déclarations dans l'appréciation des faits. Dans ce contexte, il sied de prendre en compte les déclarations faites par C______ qui a également indiqué à la police française, le 20 décembre 2015, hors de tout contexte lié à une poursuite pénale genevoise, que l'appelant avait bien pris le volant du véhicule immatriculé 2______au petit matin de ce même jour dès le début de leur périple de retour de Genève à I______. Cette déclaration corrobore entièrement celle de D______. En tant qu'elle ne constitue ainsi pas l'unique témoignage soutenant la version des faits selon laquelle c'est bien l'appelant qui conduisait le véhicule précité, l'audition de C______ par la police française peut être exploitée sans violation de la CEDH. A ce qui précède s'ajoute encore le peu de crédibilité à accorder aux propres déclarations de l'appelant lorsqu'il a été interrogé par la police française sur sa conduite du véhicule immatriculé 2______au passage de la route Blanche lors de l'excès de vitesse. En effet, il a prétendu ne pas être entré en Suisse étant déposé à J______ [France] le 19 décembre 2015 où il aurait passé la nuit seul avant d'être recherché en ce lieu le lendemain à l'aube par D______, alors même que dans le cadre des autres déclarations qu'il a faites à la police française après son interpellation par cette dernière pour avoir forcé le péage autoroutier, il a admis s'être rendu à Genève en compagnie de ses deux amis pour y passer la nuit en discothèque. Ainsi donc, la CPAR retient sans l'ombre d'un doute que A______ était bien l'auteur de l'excès de vitesse du 20 décembre 2015 au volant du véhicule immatriculé 2______ et qu'il s'est bien rendu coupable de violation intentionnelle des règles fondamentales de la circulation routière au sens des art. 90 al. 3 et 4 LCR.</w:t>
      </w:r>
    </w:p>
    <w:p>
      <w:r>
        <w:rPr>
          <w:b/>
        </w:rPr>
        <w:t>E. 3</w:t>
      </w:r>
    </w:p>
    <w:p>
      <w:r>
        <w:t>3.1.1. Selon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À teneur de l'art. 90 al. 4 LCR, l'al. 3 est toujours applicable lorsque la vitesse maximale autorisée a été dépassée : d'au moins 40 km/h, là où la limite était fixée à 30 km/h (let. a) ; d'au moins 50 km/h, là où la limite était fixée à 50 km/h (let. b) ; d'au moins 60 km/h, là où la limite était fixée à 80 km/h (let. c) ; d'au moins 80 km/h, là où la limite était fixée à plus de 80 km/h (let. d). L'art. 90 al. 3 et 4 LCR, entré en vigueur le 1 er janvier 2013, consacre une troisième catégorie d'infractions aux règles de la circulation routière sous la forme d'un crime (cf. art. 90 al. 1 LCR constituant une contravention et 90 al. 2 LCR un délit). 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(cf. Message du 9 mai 2012 concernant l'initiative populaire " Protection contre les chauffards ", FF 2012 5067 ch. 3.3 ; ATF 142 IV 137 consid. 3.3 p. 140 et les références ; arrêt du Tribunal fédéral 6B_136/2016 du 23 janvier 2017 consid. 2.1). 3.1.2. Le nouveau droit des sanctions en vigueur depuis le 1 er janvier 2018 n'étant pas plus favorable à l'appelant, il n'en sera pas fait application (art. 2 al. 2 CP " a contrario "). 3.1.3. 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consid. 3.1 ; 6B_1428/2016 du 3 octobre 2017 consid. 4.1 ; 6B_326/2016 du 22 mars 2017 consid. 4.1). 3.1.4. Aux termes de l'art. 42 al. 1 aCP, le juge suspend en règle générale l'exécution d'une peine privative de liberté de six mois au moins et de deux ans au plus lorsqu'une peine ferme ne paraît pas nécessaire pour détourner l'auteur d'autres crimes ou délits.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juge doit par ailleurs motiver sa décision de manière suffisante (cf. art. 50 CP). Sa motivation doit permettre de vérifier s'il a tenu compte de tous les éléments pertinents et comment ils ont été appréciés. Le sursis est la règle dont on ne peut s'écarter qu'en présence d'un pronostic défavorable. Il prime en cas d'incertitude (ATF 135 IV 180 consid. 2.1 p. 185 s. et les références ; ATF 134 IV 140 consid. 4.2 p. 143 ; arrêts du Tribunal fédéral 6B_1339/2016 du 23 mars 2017 consid. 1.1.1 ; 6B_372/2016 du 22 mars 2017 consid. 4). L'absence de récidive durant l'année précédant l'arrêt attaqué n'est pas pertinente, dès lors qu'un tel comportement correspond à ce que l'on doit pouvoir attendre de tout un chacun (arrêts du Tribunal fédéral 6B_740/2016 du 2 juin 2017 consid. 2.2 et les références). Le défaut de prise de conscience de la faute peut justifier un pronostic défavorable, car seul celui qui se repent de son acte mérite la confiance que l'on doit pouvoir accorder au condamné bénéficiant du sursis (arrêt du Tribunal fédéral 6B_276/2018 consid. 3.1). Toutefois, le seul refus de collaborer à l'instruction, respectivement le déni des infractions commises, ne permet pas de tirer des conclusions sur la prise de conscience du condamné et de motiver le refus du sursis. Le juge doit, au contraire, rechercher les raisons qui motivent ce refus puis les confronter à l'ensemble des éléments pertinents pour le pronostic (arrêts du Tribunal fédéral 6B_888/2015 du 2 mai 2016 consid. 3.3.2 et 6B_348/2014 du 19 juin 2014 consid. 2.2). La commission d'un crime ou d'un délit durant le délai d'épreuve n'entraîne dès lors pas nécessairement une révocation du sursis. Celle-ci ne se justifie qu'en cas d'un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40 consid. 4.4 p. 143). En particulier, il doit prendre en considération l'effet dissuasif que la nouvelle peine peut exercer, si elle est exécutée (ATF 134 IV 140 consid. 4.5 p. 144). A l'inverse, lorsqu'un sursis antérieur est révoqué, l'exécution de la peine suspendue peut conduire à nier un pronostic défavorable et à assortir la nouvelle peine du sursis (ATF 134 IV 140 consid. 4.5 p. 144). 3.1.5. Dans le cadre du pronostic déterminant l'octroi du sursis, les antécédents pénaux ne constituent qu'un élément parmi d'autres. Ils ne l'emportent pas nécessairement sur les autres considérations pertinentes (arrêt 6B_569/2008 du 24 mars 2009 consid. 2.3 ; R. SCHNEIDER / R. GARRÉ, Basler Kommentar, Strafrecht I , 2 e éd., 2007, n. 59 ad art. 42). Pour autant, on ne saurait en déduire qu'ils ne suffisent jamais à fonder un pronostic défavorable. Comme sous l'ancien droit (cf. ATF 98 IV 313 consid. 3 p. 313 s.), ils ne permettent certes pas à eux seuls de refuser le sursis si les peines prononcées dans les cinq ans qui précèdent l'infraction n'équivalent pas au moins à trois mois de privation de liberté au total (R. SCHNEIDER / R. GARRÉ, op. cit ., n. 59 ad art. 42 CP). Mais des antécédents plus graves peuvent suffire à fonder un pronostic défavorable si le très mauvais signe qu'ils donnent n'est corrigé par aucun élément favorable, voire par aucun élément particulièrement favorable s'ils dépassent au total six mois de privation de liberté ou 180 jours-amende (art. 42 al. 2 CP). Des antécédents relatifs à d'autres types de délits ne sont pas sans pertinence pour l'établissement du pronostic en vue de l'octroi ou du refus du sursis (arrêt du Tribunal fédéral 6B_541/2007 du 13 mai 2008, consid. 2.3.3 ; ATF 100 IV 133 , consid. 1d, p. 137 ; 98 IV 76 consid. 2, p. 82 ; v. également R. SCHNEIDER / R. GARRÉ, Basler Kommentar, Strafrecht I , 2 e éd., 2007, n. 59 ad art. 42). Les peines prononcées à l'étranger, de même que celles qui y ont été exécutées renseignent au même titre que les peines prononcées et exécutées en Suisse sur les antécédents de l'auteur et constituent, partant, un critère pertinent pour le pronostic relatif à l'octroi ou au refus du sursis (ATF 105 IV 225 consid. 2 p. 226). La nature de l'infraction ne fournit aucune indication sur les perspectives d'amendement du condamné (arrêt du Tribunal fédéral 6B_435/2007 du 12 février 2008, consid. 3.6.1). La jurisprudence l'a relevé à de nombreuses reprises, notamment en relation avec la conduite en état d'ébriété (ATF 101 IV 257 consid. 1 p. 258, 98 IV 159 , consid. 2 p. 161) ou les infractions à la loi fédérale sur les stupéfiants (ATF 101 IV 122 consid. 2 p. 123). 3.1.6. 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6B_105/2016 du 11 octobre 2016 consid. 1.1 et la référence citée). Le point de départ du délai d'épreuve coïncide avec la communication du jugement exécutoire (arrêt du Tribunal fédéral 6B-114/2013 du 1 er juillet 2013, consid. 7). 3.1.7.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L'art. 42 al. 2 CP ne s'applique qu'en présence d'une seule condamnation antérieure, et non si l'auteur a été condamné à plusieurs peines, même si l'addition de leur durée dépasse six mois ou 180 jours-amende. En effet, ce qui est déterminant, c'est que l'auteur ait commis une infraction d'une certaine gravité, et non plus - comme sous l'ancien droit - qu'il ait purgé une peine privative de liberté d'une certaine longueur (arrêt du Tribunal fédéral 6B_812/2009 du 18 février 2010 consid. 2.1).</w:t>
      </w:r>
    </w:p>
    <w:p>
      <w:r>
        <w:rPr>
          <w:b/>
        </w:rPr>
        <w:t>E. 4.1</w:t>
      </w:r>
    </w:p>
    <w:p>
      <w:r>
        <w:t>Selon les art. 426 al. 1 et 428 al. 1 CPP, les frais de la procédure de première instance et d'appel sont mis à la charge des parties dans la mesure où elles succombent. L'art. 428 al. 3 CPP prévoit que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(arrêts du Tribunal fédéral 6B_620/2016 du 17 mai 2017 consid. 2.1.1; 6B_136/2016 du 23 janvier 2017 consid. 4.1.2).</w:t>
      </w:r>
    </w:p>
    <w:p>
      <w:r>
        <w:rPr>
          <w:b/>
        </w:rPr>
        <w:t>E. 4.2</w:t>
      </w:r>
    </w:p>
    <w:p>
      <w:r>
        <w:t>En première instance, l'appelant avait plaidé son acquittement uniquement et succombé de sorte qu'il convient de confirmer la répartition des frais de première instance. Il obtient gain de cause pour moitié de ses conclusions en procédure d'appel, qui seront dès lors mis à sa charge par moitié, lesquels comprennent un émolument de CHF 2'000.- (art. 426 al.1 CPP et art. 14 al. 1 let. e du Règlement fixant le tarif des frais en matière pénale [RTFMP - E 4 10.03]).</w:t>
      </w:r>
    </w:p>
    <w:p>
      <w:r>
        <w:rPr>
          <w:b/>
        </w:rPr>
        <w:t>E. 5</w:t>
      </w:r>
    </w:p>
    <w:p>
      <w:r>
        <w:t>L'état defrais déposé par Me B______ apparaît globalement conforme aux principes applicables en matière de défense d'office. Un total de 4 heures et 30 minutes est retenu, plus le forfait de 20% et la TVA, 'indemnité accordée pour la défense d'office sera ainsi arrêtée à CHF 904.70.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