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P/8625/2014 vom 23. Juni 2016</w:t>
      </w:r>
    </w:p>
    <w:p>
      <w:r>
        <w:t>GE Cour de justice, 2016-06-23, FR</w:t>
      </w:r>
    </w:p>
    <w:p>
      <w:r>
        <w:rPr>
          <w:b/>
        </w:rPr>
        <w:t xml:space="preserve">Quelle: </w:t>
      </w:r>
      <w:r>
        <w:t>https://mcp.opencaselaw.ch/entscheid/ge_gerichte_P_8625_2014</w:t>
      </w:r>
    </w:p>
    <w:p>
      <w:r>
        <w:t>FR: GE_GERICHTE P/8625/2014 du 23 juin 2016</w:t>
      </w:r>
    </w:p>
    <w:p>
      <w:r>
        <w:t>IT: GE_GERICHTE P/8625/2014 del 23 giugno 2016</w:t>
      </w:r>
    </w:p>
    <w:p>
      <w:pPr>
        <w:pStyle w:val="Heading2"/>
      </w:pPr>
      <w:r>
        <w:t>Regeste</w:t>
      </w:r>
    </w:p>
    <w:p>
      <w:r>
        <w:t>RÉGIME DE LA DÉTENTION ; GARANTIE DE LA DIGNITÉ HUMAINE ; FIXATION DE LA PEINE | CEDH.3; CPP.135; CPP.428</w:t>
      </w:r>
    </w:p>
    <w:p>
      <w:pPr>
        <w:pStyle w:val="Heading2"/>
      </w:pPr>
      <w:r>
        <w:t>Erwägungen</w:t>
      </w:r>
    </w:p>
    <w:p>
      <w:r>
        <w:rPr>
          <w:b/>
        </w:rPr>
        <w:t>E. 1</w:t>
      </w:r>
    </w:p>
    <w:p>
      <w:r>
        <w:t>Un arrêt de renvoi du Tribunal fédéral lie l'autorité cantonale à laquelle la cause est renvoyée, qui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 consid. 3.3 et les références citées ; B. CORBOZ, in Commentaire de la LTF , 2009, n. 27 ad art. 107 LTF).</w:t>
      </w:r>
    </w:p>
    <w:p>
      <w:r>
        <w:rPr>
          <w:b/>
        </w:rPr>
        <w:t>E. 2.1</w:t>
      </w:r>
    </w:p>
    <w:p>
      <w:r>
        <w:t>Le Tribunal fédéral a examiné dans des arrêts récents à quelles conditions, en particulier en cas de surpopulation carcérale, il fallait admettre qu'une détention constituait un traitement inhumain ou dégradant prohibé par l'art. 3 CEDH (ATF 141 I 141 ; 140 I 125 ; arrêt du Tribunal fédéral 1B_335/2013 du 26 février 2014). Pour le Tribunal fédéral,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(ATF 140 I 125 consid. 3.6.3 p. 138 ; arrêt du Tribunal fédéral 6B_14/2014 du 7 avril 2015 consid. 5.4.2.1 non reproduit in ATF 141 I 141 ). En revanche,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p. 140). Dans le même arrêt, le Tribunal fédéral a considéré que "l'effet cumulé de l'espace individuel inférieur à 3,83 m2, le nombre de 157 jours consécutifs passés dans ces conditions de détention difficiles et surtout le confinement en cellule 23h00 sur 24h00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(ATF 140 I 125 consid. 3.6.3 p. 140). Le Tribunal fédéral a abouti à une conclusion identique pour un détenu qui avait passé 89 jours consécutifs dans des conditions de détention dans une cellule dont la surface à disposition était également de 3.83 m2 (arrêt 1B_335/2013 du 26 février 2014 consid. 3.6.3). Des périodes de 7 ou 12 nuits sont susceptibles d'interrompre la période de détention contraire aux standards minimaux. Par contre, les périodes très brèves d'une nuit isolée ne sont pas à prendre en considération (arrêt du Tribunal fédéral 6B_688/2015 du 19 mai 2016 consid. 8.3.1 et les références citées).</w:t>
      </w:r>
    </w:p>
    <w:p>
      <w:r>
        <w:rPr>
          <w:b/>
        </w:rPr>
        <w:t>E. 2.2</w:t>
      </w:r>
    </w:p>
    <w:p>
      <w:r>
        <w:t>Selon le Tribunal fédéral, la constatation simplement déclaratoire d'une illicéité, assortie d'une condamnation de l'Etat aux dépens, constitue une forme de réparation au moins partielle de la violation (ATF 138 IV 81 consid. 2.4 p. 85). Comme cela ressort aussi de l'ATF 140 I 246 , les critères posés par le Tribunal fédéral dans l'ATF 140 I 125 excluent toutefois de qualifier de "peu d'importance" une violation de l'art. 3 CEDH, puisqu'elle n'est admise qu'en cas de dépassement d'un certain seuil de gravité. Ainsi, compte tenu de l'importance du bien juridique protégé par l'art. 3 CEDH, à savoir la dignité humaine, il apparaîtrait peu adéquat de juger satisfaisante une réparation de ce type, à tout le moins comme mode exclusif de réparation. Une réduction de peine, que la CPAR a admise à plusieurs reprises (voir par exemple AARP/566/2014 du 7 octobre 2014 consid. 6.4.3 et AARP/223/2015 du 15 mai 2015 consid. 4.4), en appliquant par analogie les principes déduits d'une violation du principe de célérité, peut constituer une autre forme de réparation. Elle n'apparaît toutefois pas appropriée lorsque l'intéressé ne se trouve plus en détention et n'a donc pas de solde de peine à subir. Ainsi, dans cette hypothèse, seule une indemnisation entre en ligne de compte. Il s'agit d'un mode de réparation expressément prévu par le CPP, fondé sur l'art. 431 al. 1 CPP, lequel prévoit que si le prévenu a, de manière illicite, fait l'objet de mesures de contrainte, l'autorité pénale lui alloue une juste indemnité et réparation du tort moral. Pour définir les types de dommages susceptibles d'être indemnisés en application de l'art. 431 CPP, il y a lieu d'opérer un rapprochement avec l'art. 429 CPP, ces dispositions instituant toutes deux une responsabilité de l'État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elle(s)-même(s) illicite(s) (arrêt du Tribunal fédéral 6B_291/2013 du 12 décembre 2013 consid. 2.3, paru in SJ 2014 I p. 218). Sur un plan théorique, deux options sont envisageables pour chiffrer la quotité du tort moral. La première consiste à fixer une indemnité d'ordre général et global, sans se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influée par le nombre de jours concernés. Il n'en reste pas moins que,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 Dans des arrêts AARP/122/2015 du 20 février 2015 consid. 4.4.3, AARP/223/2015 du 15 mai 2015 consid. 6.4.3 et AARP/403/2015 du 28 septembre 2015 consid. 3.4.2, la CPAR a accordé des réductions de peine de deux mois en réparation de conditions de détention illicites ayant duré six à sept mois.</w:t>
      </w:r>
    </w:p>
    <w:p>
      <w:r>
        <w:rPr>
          <w:b/>
        </w:rPr>
        <w:t>E. 2.3</w:t>
      </w:r>
    </w:p>
    <w:p>
      <w:r>
        <w:t>En l'espèce, il est acquis aux débats que l'appelant a été détenu durant 136 jours consécutivement en ne bénéficiant que d'une surface individuelle nette de 3.69 m2 et étant confiné 23h00 sur 24h00 dans sa cellule, conditions que le Tribunal fédéral a qualifiées d'illicites, puisque contraires aux règles de l'art. 3 CEDH. Sur le principe, l'appelant est donc fondé à obtenir une réduction de sa peine. S'agissant de la quotité de cette réduction, l'appelant a exclusivement fondé ses conclusions sur une décision isolée de la CPAR du 27 novembre 2014. Dans plusieurs décisions plus récentes, citées ci-dessus, la juridiction d'appel a accordé des réductions de peine de deux mois, les périodes de détention dans des conditions illicites étant plus longues et les surfaces nettes disponibles à peu près comparables, en prenant en considération la déduction de la surface des douches. En conséquence, une réduction de deux mois de la peine de cinq ans infligée à l'appelant est adéquate et équitable, portant ainsi cette peine à quatre ans et dix mois.</w:t>
      </w:r>
    </w:p>
    <w:p>
      <w:r>
        <w:rPr>
          <w:b/>
        </w:rPr>
        <w:t>E. 3</w:t>
      </w:r>
    </w:p>
    <w:p>
      <w:r>
        <w:t>Les frais de la procédure postérieure à l'arrêt du Tribunal fédéral du 21 mars 2016 seront laissés à la charge de l'Etat (art. 428 CPP).</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4.2.4. Selon l'art. 17 RAJ, l'état de frais doit détailler, par rubrique, les activités donnant lieu à indemnisation, avec indication du temps consacré, et les justificatifs doivent être joints.</w:t>
      </w:r>
    </w:p>
    <w:p>
      <w:r>
        <w:rPr>
          <w:b/>
        </w:rPr>
        <w:t>E. 4.3</w:t>
      </w:r>
    </w:p>
    <w:p>
      <w:r>
        <w:t>En l'occurrence, l'état de frais de M e X______ est conforme aux principes exposés ci-dessus. L'indemnité sera arrêtée à CHF 1'532.50, majoration forfaitaire de 10% et TVA au taux de 8%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