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P/85/2020 vom 21. Oktober 2021</w:t>
      </w:r>
    </w:p>
    <w:p>
      <w:r>
        <w:t>GE Cour de justice, 2021-10-21, FR</w:t>
      </w:r>
    </w:p>
    <w:p>
      <w:r>
        <w:rPr>
          <w:b/>
        </w:rPr>
        <w:t xml:space="preserve">Quelle: </w:t>
      </w:r>
      <w:r>
        <w:t>https://mcp.opencaselaw.ch/entscheid/ge_gerichte_P_85_2020</w:t>
      </w:r>
    </w:p>
    <w:p>
      <w:r>
        <w:t>FR: GE_GERICHTE P/85/2020 du 21 octobre 2021</w:t>
      </w:r>
    </w:p>
    <w:p>
      <w:r>
        <w:t>IT: GE_GERICHTE P/85/2020 del 21 ottobre 2021</w:t>
      </w:r>
    </w:p>
    <w:p>
      <w:pPr>
        <w:pStyle w:val="Heading2"/>
      </w:pPr>
      <w:r>
        <w:t>Regeste</w:t>
      </w:r>
    </w:p>
    <w:p>
      <w:r>
        <w:t>DÉFENSE OBLIGATOIRE (ABSENCE DE);DÉFENSE D'OFFICE (ABSENCE DE);RECEVABILITÉ DE L'APPEL;NON-RESPECT DU DÉLAI LÉGAL POUR LE DÉPÔT DE LA DÉCLARATION D'APPEL | CPP.130; CPP.132.al2; CPP.132.al3; CPP.403</w:t>
      </w:r>
    </w:p>
    <w:p>
      <w:pPr>
        <w:pStyle w:val="Heading2"/>
      </w:pPr>
      <w:r>
        <w:t>Erwägungen</w:t>
      </w:r>
    </w:p>
    <w:p>
      <w:r>
        <w:rPr>
          <w:b/>
        </w:rPr>
        <w:t>E. 1</w:t>
      </w:r>
    </w:p>
    <w:p>
      <w:r>
        <w:t>1.1.1. Selon l'art. 130 du Code de procédure pénale (CPP), le prévenu doit avoir un défenseur notamment dans les cas suivants : il encourt une peine privative de liberté de plus d'un an, une mesure entraînant une privation de liberté ou une expulsion (let. b) ; en raison de son état physique ou psychique ou pour d'autres motifs, il ne peut pas suffisamment défendre ses intérêts dans la procédure et ses représentants légaux ne sont pas en mesure de le faire (let. c). La question de la capacité de procéder doit être examinée d'office par les autorités (arrêt du Tribunal fédéral 1B_279/2014 du 3 novembre 2014 consid. 2.1.1 = SJ 2015 I 172).Cependant,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(cf. arrêts du Tribunal fédéral 1B_229/2021 du 9 septembre 2021 consid. 3.1 ; 1B_314/2015 du 23 octobre 2015 consid. 2.2 et les références). 1.1.2. En l'espèce, au vu de la peine prononcée en première instance et en l'absence d'appel joint du MP, A______ ne se trouve plus en situation de défense obligatoire au sens de l'art. 130 let. b CPP depuis le jugement rendu par le TP, situation qui prévalait à l'origine. Le cas de figure visé par l'art. 130 let. c CPP n'entre pas non plus en considération au vu de la situation personnelle de A______ (cf. jugement du TP, let. D.). On l'a vu, le précité a toujours voulu se défendre seul et l'a d'ailleurs fait en recourant en personne à plusieurs reprises auprès de la CPR, sinon à une reprise auprès du Tribunal fédéral, alors que ces autorités judiciaires n'ont pas eu à reconsidérer ses écritures parce qu'elles auraient montré que l'intéressé était dans l'incapacité de se défendre en raison de son état, alors même qu'il jouissait d'un défenseur obligatoire, dont il n'avait cure. Au contraire, la CPR a pu traiter ses recours sans le concours de son défenseur d'office (cf. consid. d.c. supra ). Enfin, le MP a renoncé – sans que sa décision soit contestée – à ordonner l'expertise psychiatrique du prévenu, laquelle ne se justifiait donc pas en l'absence d'indices sérieux propres à faire douter de la responsabilité de l'intéressé (cf. arrêt du Tribunal fédéral 6B_507/2021 du 1 er septembre 2021 consid. 4.2), sa propension à la paranoïa ne constituant pas encore un trouble suffisant à cet égard. 1.2.1. Conformément à l'art. 132 al. 1 let. b CPP, le magistrat exerçant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 cf. arrêt du Tribunal fédéral 1B_229/2021 du 9 septembre 2021 consid. 4.1). 1.2.2. En l'état, aucunes des conditions de la défense d'office d'un prévenu indigent ne permettraient à A______ d'obtenir le concours d'un avocat, hormis qu'il n'en a pas demandé, respectivement qu'il n'en a pas souhaité. En effet, vu la peine concrète prononcée par le TP, l'affaire est de peu de gravité. Elle ne présente objectivement aucune difficulté factuelle et/ou juridique que A______ n'aurait pu surmonter, étant rappelé qu'il a admis partie des faits reprochés (cf. jugement du TP, consid. C. a)), que la peine a été considérablement diminuée par rapport à celle fixée dans l'ordonnance pénale querellée et qu'il dispose des capacités (cf. formation, maîtrise de la langue française et pratique judiciaire au vu des multiples recours formés et de la procédure de récusation engagée) suffisantes pour se défendre efficacement seul.</w:t>
      </w:r>
    </w:p>
    <w:p>
      <w:r>
        <w:rPr>
          <w:b/>
        </w:rPr>
        <w:t>E. 1.3</w:t>
      </w:r>
    </w:p>
    <w:p>
      <w:r>
        <w:t>Nul grief ne peut être reproché au défenseur d'office, M e D______, qui a correctement informé son client le jour où le dispositif du jugement de première instance a été rendu (cf. consid. b supra ). Il lui a de surcroît communiqué se tenir à disposition pour l'assister dans ses démarches, au cas où il entendait aller de l'avant. Dans la mesure où, dûment informé, A______ a procédé seul, sans tenir son avocat informé, il ne peut être considéré que le défenseur d'office a mis un terme à son mandat – fût-il d'office – en temps inopportun. Déjà, dans le cours de la procédure de première instance, A______ s'était affranchi du concours de la première défenseure d'office nommée pour l'assister. On ne voit pas quelle responsabilité extraordinaire aurait dû endosser M e D______ ou quelle situation nécessitant d'y remédier aurait-il dû parer, et les critiques avancées par A______ à cet égard sont vaines. À l'issue du procès par-devant le TP, M e D______ a en effet correctement informé A______ des conditions procédurales pour former, le cas échéant, une déclaration d'appel.</w:t>
      </w:r>
    </w:p>
    <w:p>
      <w:r>
        <w:rPr>
          <w:b/>
        </w:rPr>
        <w:t>E. 2.1</w:t>
      </w:r>
    </w:p>
    <w:p>
      <w:r>
        <w:t>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La juridiction d'appel statue, après avoir entendu les parties, sur la recevabilité de l'appel lorsque la direction de la procédure ou l'une d'entre elles fait notamment valoir que l'annonce ou la déclaration d'appel est tardive ou irrecevable (art. 403 al. 1 let. a CPP).</w:t>
      </w:r>
    </w:p>
    <w:p>
      <w:r>
        <w:rPr>
          <w:b/>
        </w:rPr>
        <w:t>E. 2.2</w:t>
      </w:r>
    </w:p>
    <w:p>
      <w:r>
        <w:t>En l'espèce, l'appel est irrecevable dès lors que le courrier annonçant celui-ci n'a pas été suivi d'une déclaration d'appel dans le délai légal de 20 jours suivant la notification du jugement motivé. A______ était suffisamment renseigné sur la signification des délais, dont la teneur figure in extenso au pied du jugement qu'il entendait quereller. Par ailleurs, il est au fait de la computation des délais, ainsi qu'il l'a indiqué dans son mémoire d'appel. Le fait de se fourvoyer dans le point de départ du délai n'est pas un vice qui se guérit (sous réserve de circonstances qui ne sont pas données ici, cf. art. 94 CPP) et A______ doit assumer son erreur. Le 25 juin 2020, M e D______ l'avait rendu attentif au fait que le domicile de notification serait effectif en son étude du fait de sa nomination pour la défense de ses intérêts, conformément à l'art. 87 al. 3 CPP (cf. consid. f. supra ). Le 21 mai 2021, lorsque A______ a annoncé appel du jugement rendu, son courrier ne pouvait valoir relief du domicile de notification constitué chez son défenseur d'office et le TP ne s'y est pas trompé puisqu'il a notifié le jugement motivé en l'étude de M e D______, tout en le communiquant à A______ à l'adresse électronique qu'il lui avait indiquée. Cela étant, le mandataire a fait diligence puisqu'il a communiqué le jugement motivé à A______ le jour même de sa réception, tout en rendant attentif une nouvelle fois le précité au délai légal (cf. consid. j. supra ). Même à considérer, à titre subsidiaire, que le courrier de A______ du 21 mai 2021 aurait emporté révocation du domicile élu chez son avocat, compte tenu de la communication de son adresse électronique au TP, celle-là n'aurait pas été effective sans l'aval formel du tribunal. En effet, l'art. 86 CPP n'est que de nature dispositive, le justiciable ne pouvant, sur la base de cette disposition, imposer aux autorités pénales la notification par voie électronique, celle-ci restant une faculté offerte aux autorités pénales de procéder par ce moyen de communication ( Kann-Vorschrift ; cf. arrêt du Tribunal fédéral 1B_240/2020 du 4 juin 2021 consid. 2.4.1 destiné à publication).</w:t>
      </w:r>
    </w:p>
    <w:p>
      <w:r>
        <w:rPr>
          <w:b/>
        </w:rPr>
        <w:t>E. 3</w:t>
      </w:r>
    </w:p>
    <w:p>
      <w:r>
        <w:t>La partie dont l'appel est irrecevable est considérée comme ayant succombé. En conséquence, l'appelant supportera les frais de la procédure envers l'Etat, y compris un émolument de décision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