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P/857/2017 vom 19. April 2021</w:t>
      </w:r>
    </w:p>
    <w:p>
      <w:r>
        <w:t>GE Cour de justice, 2021-04-19, FR</w:t>
      </w:r>
    </w:p>
    <w:p>
      <w:r>
        <w:rPr>
          <w:b/>
        </w:rPr>
        <w:t xml:space="preserve">Quelle: </w:t>
      </w:r>
      <w:r>
        <w:t>https://mcp.opencaselaw.ch/entscheid/ge_gerichte_P_857_2017</w:t>
      </w:r>
    </w:p>
    <w:p>
      <w:r>
        <w:t>FR: GE_GERICHTE P/857/2017 du 19 avril 2021</w:t>
      </w:r>
    </w:p>
    <w:p>
      <w:r>
        <w:t>IT: GE_GERICHTE P/857/2017 del 19 aprile 2021</w:t>
      </w:r>
    </w:p>
    <w:p>
      <w:pPr>
        <w:pStyle w:val="Heading2"/>
      </w:pPr>
      <w:r>
        <w:t>Regeste</w:t>
      </w:r>
    </w:p>
    <w:p>
      <w:r>
        <w:t>ESCROQUERIE;FAUX INTELLECTUEL DANS LES TITRES;FIXATION DE LA PEINE;LOI FÉDÉRALE SUR LES PROFESSIONS MÉDICALES UNIVERSITAIRES | CP.146; CP.251; LPMéd.58.letB; CP.47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146 al. 1 CP punit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Si l'auteur fait métier de l'escroquerie, la peine sera une peine privative de liberté de dix ans au plus ou une peine pécuniaire de 90 jours-amende au moins. 2.2.2. L'escroquerie implique que l'erreur ait déterminé la dupe à disposer de son patrimoine. Il faut ainsi un acte de disposition effectué par la dupe et un lien de motivation entre cet acte et l'erreur. L'acte de disposition est constitué par tout acte ou omission qui entraîne directement un préjudice au patrimoine (ATF 128 IV 255 consid. 2e/aa). Il n'est pas nécessaire que le dommage corresponde à l'enrichissement de l'auteur, ni qu'il soit chiffré; il suffit qu'il soit certain (ATF 123 IV 17 consid. 3d ; 122 IV 279 consid. 2a ; 121 IV 104 consid. 2c). L'enrichissement de l'auteur ou d'un tiers n'est pas une condition objective de punissabilité (ATF 119 IV 210 consid. 4b ; arrêt du Tribunal fédéral 6B_541/2011 du 18 octobre 2011 consid. 5.1). 2.2.3. Pour qu'il y ait escroquerie, une simple tromperie ne suffit pas ; il faut qu'elle soit astucieuse.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2.2.4.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 arrêt du Tribunal fédéral 6B_1240/2015 du 7 juillet 2016 consid. 1.1). La qualification de métier n'est admise que si l'auteur a déjà agi à plusieurs reprises (ATF 119 IV 129 consid. 3a ; ATF 116 IV 319 consid. 3b ; arrêt du Tribunal fédéral 6B_117/2015 du 11 février 2016 consid. 24.1).</w:t>
      </w:r>
    </w:p>
    <w:p>
      <w:r>
        <w:rPr>
          <w:b/>
        </w:rPr>
        <w:t>E. 2.3</w:t>
      </w:r>
    </w:p>
    <w:p>
      <w:r>
        <w:t>Sont admis à pratiquer à la charge de l'assurance-maladie obligatoire, parmi les fournisseurs de prestations, notamment les médecins titulaires du diplôme fédéral et d'une formation postgraduée reconnue par le Conseil fédéral (art. 35 al. 1 et 2 let. a ; art. 36 al. 1 loi fédérale sur l'assurance-maladie [LAMal]). Ainsi, la prise en charge suppose que la prestation en cause soit effectuée par un tel fournisseur de prestations (ATF 142 V 316 consid. 5.3.1).</w:t>
      </w:r>
    </w:p>
    <w:p>
      <w:r>
        <w:rPr>
          <w:b/>
        </w:rPr>
        <w:t>E. 2.4</w:t>
      </w:r>
    </w:p>
    <w:p>
      <w:r>
        <w:t>En l'espèce, il est établi que le prévenu a, entre 2009 et 2018, pratiqué au titre de médecin généraliste indépendant au sein du cabinet W______ sans en avoir l'autorisation, n'ayant obtenu ni le diplôme fédéral ni la reconnaissance de son diplôme étranger. Afin que ses honoraires et ses prescriptions soient néanmoins facturés à la charge de l'assurance-maladie obligatoire, il a utilisé les codes RCC de trois médecins tiers, ainsi que des ordonnances à l'en-tête du cabinet signées à leur nom. Aucun de ces trois médecins tiers n'a exercé au cabinet W______ et deux d'entre eux n'étaient pas au courant de l'utilisation de leurs codes RCC ainsi que de leur identité par le prévenu. Par ce procédé, le prévenu a induit en erreur les parties plaignantes sur l'identité du prestataire des soins dont les honoraires et les prescriptions leur ont été facturés. Cette erreur les a amenées à rembourser, soit directement au prévenu ou aux pharmacies ou laboratoires (système de tiers payant), soit aux patients (système de tiers garant), les montants desdits honoraires et prescriptions, qui ne relevaient pourtant pas de l'activité d'un prestataire reconnu par l'assurance-maladie obligatoire. Le préjudice au patrimoine des assurances résulte de ce que, si l'identité du prestataire de soin leur avait été connue, elle n'aurait pas remboursé les coûts relatifs à son activité et ses prescriptions. Peu importe que celles-ci fussent effectives et réalisées à la satisfaction de sa patientèle, point qui n'a par ailleurs pas été instruit en détail. Seule est déterminant sous l'angle du dommage le fait que les parties plaignantes ont été induites à assumer leurs coûts alors qu'elles n'y étaient pas tenues. Il n'est pour le surplus pas nécessaire de déterminer le montant précis versé par les assurances ni l'enrichissement de l'appelant, soit le bénéfice net retiré de son activité de médecin généraliste. Le caractère astucieux de la tromperie est incontestable. En recevant des factures et prescriptions munies des code RCC et signées au nom de médecins autorisés, à l'en-tête d'un cabinet médical existant, elles n'avaient aucune raison de se douter qu'elles émanaient en réalité d'un prestataire non reconnu. La seule manière de déceler la tromperie eût été de vérifier sur place que les prestations et prescriptions facturées émanaient effectivement des médecins P______, Q______ et V______, supposés y travailler puisque leur nom figurait sur la plaque et/ou les documents du cabinet. Or, au vu des centaines voire des milliers de factures traitées quotidiennement par les assurances, les parties plaignantes n'auraient pas eu le temps de faire procéder systématiquement à une telle vérification, sans indice manifeste d'une usurpation d'identité. Le dol du prévenu n'est pas non plus contestable dès lors qu'il a lui-même mis en place le système susdécrit lui ayant permis de facturer ses prestations et prescriptions à la charge de l'assurance-obligatoire. Il a admis et ne pouvait ignorer au vu des nombreux rappels des autorités à cet égard qu'il agissait au titre de médecin indépendant, ce à quoi il n'a jamais été autorisé en Suisse. Il a ainsi astucieusement induit en erreur les parties plaignantes sur son identité et amené celles-ci à couvrir le coût de son activité de médecin avec conscience et volonté. Il a agi avec un dessein d'enrichissement illégitime quand bien même ni l'effectivité ni l'adéquation de son activité n'ont été remises en cause. Il savait en effet en tous les cas ne pas pouvoir prétendre à une couverture de ses prestations et prescriptions en qualité de médecin indépendant par l'assurance-obligatoire. Le prévenu a agi sur une longue durée et de manière continue. Il a structuré son cabinet et organisé son activité dans le but de bénéficier des remboursements de l'assurance-obligatoire. Quand bien même le montant précis qu'il a reçu d'elles ou des assurés n'est pas déterminé, il est établi qu'il représente plusieurs millions de francs, soit assurément une part importante de son chiffre d'affaires. La circonstance aggravante du métier est ainsi réalisée. En conclusion, le prévenu s'est rendu coupable d'escroquerie par métier, point sur lequel premier jugement sera confirmé.</w:t>
      </w:r>
    </w:p>
    <w:p>
      <w:r>
        <w:rPr>
          <w:b/>
        </w:rPr>
        <w:t>E. 3</w:t>
      </w:r>
    </w:p>
    <w:p>
      <w:r>
        <w:t>3.1. Selon l'art. 251 ch. 1 CP,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146 IV 258 consid. 1.1 et les références citées). Certains documents possèdent une valeur probante accrue en raison de la fonction de la personne qui les établit, cette personne se trouvant dans une position comparable à celle d'un garant à l'égard des personnes induites en erreur. Ainsi, la jurisprudence a reconnu comme des faux intellectuels une feuille de maladie ou une facture mensongère, établie par un médecin, lequel bénéficie d'une position privilégiée et jouit de ce fait d'un rapport de confiance particulier existant avec la caisse-maladie (ATF 146 IV 258 consid. 1.1.2 et références citées)</w:t>
      </w:r>
    </w:p>
    <w:p>
      <w:r>
        <w:rPr>
          <w:b/>
        </w:rPr>
        <w:t>E. 3.2</w:t>
      </w:r>
    </w:p>
    <w:p>
      <w:r>
        <w:t>Il y a concours parfait entre l'escroquerie et le faux dans les titres lorsque l'auteur utilise un faux pour commettre une escroquerie, puisque les biens juridiquement protégés sont différents. En effet, l'art. 146 CP protège le patrimoine, alors que l'art. 251 CP protège la confiance placée dans la validité des pièces (ATF 138 IV 209 consid. 5.5 et 129 IV 53 consid. 3).</w:t>
      </w:r>
    </w:p>
    <w:p>
      <w:r>
        <w:rPr>
          <w:b/>
        </w:rPr>
        <w:t>E. 3.3</w:t>
      </w:r>
    </w:p>
    <w:p>
      <w:r>
        <w:t>En l'espèce, afin d'obtenir la couverture de ses prestations et de ses prescriptions par l'assurance-obligatoire, l'appelant a signé des factures et ordonnances au nom de médecins tiers, qui étaient contrairement à lui des prestataires LAMal reconnus. Ces documents constituent aussi bien des faux matériels, au vu de l'usurpation d'identité desdits médecins, que des faux intellectuels, dans la mesure où ils attestent faussement que la prestation et/ou la prescription concernées ont été réalisées par le médecin signataire. En tant que faux intellectuel, une facture médicale ou une ordonnance a aussi une valeur de titre, au vu de la position privilégiée dont bénéficie le médecin à l'égard des assurances-maladies. Le prévenu a agi avec conscience et volonté, dans le dessein de porter atteinte aux intérêts pécuniaires des parties plaignantes, qui n'étaient pas tenues de couvrir le coût de son activité, ainsi que de se procurer un avantage illicite, soit une couverture de ce coût à laquelle il ne pouvait pas prétendre. Il n'y a à cet égard pas lieu de distinguer les factures des prescriptions. Bien qu'il n'ait pas reçu le produit des secondes, versé aux pharmacies ou laboratoires, celles-ci étaient l'instrument indispensable à la pratique de la médecine générale dont il a facturé l'activité aux parties plaignantes. Il s'est ainsi rendu coupable de faux dans les titre, en concours parfait avec l'infraction d'escroquerie par métier susretenue, ce en quoi le premier jugement sera confirmé.</w:t>
      </w:r>
    </w:p>
    <w:p>
      <w:r>
        <w:rPr>
          <w:b/>
        </w:rPr>
        <w:t>E. 4</w:t>
      </w:r>
    </w:p>
    <w:p>
      <w:r>
        <w:t>4.1. L'art. 58 let. b de la LPMéd punit d'une amende toute personne qui utilise une dénomination faisant croire à tort qu'elle a terminé une formation universitaire ou une formation postgrade régie par cette loi. Cette disposition introduit la protection des diplômes et des titres postrades (FF 2005 157 - 221). Un diplôme fédéral correspond à chaque profession médicale universitaire (art. 5 al. 1 LPMéd). La formation universitaire s'achève par la réussite de l'examen fédéral (art. 14 al. 1 LPMéd). Est reconnu le diplôme étranger dont l'équivalence avec un diplôme fédéral est établie dans un traité sur la reconnaissance réciproque des diplômes conclu avec l'État concerné (art. 15 al. 1 LPMéd). Un diplôme étranger reconnu déploie en Suisse les mêmes effets qu'un diplôme fédéral (al. 2). La reconnaissance relève de la compétence de la Commission des professions médicales (al. 3), laquelle, si elle ne reconnaît pas le diplôme étranger, fixe les conditions de l'obtention du diplôme fédéral correspondant (al. 4).</w:t>
      </w:r>
    </w:p>
    <w:p>
      <w:r>
        <w:rPr>
          <w:b/>
        </w:rPr>
        <w:t>E. 4.2</w:t>
      </w:r>
    </w:p>
    <w:p>
      <w:r>
        <w:t>L'art. 134 al. 1 let. c LS punit, sous réserve des sanctions pénales visées par les lois fédérales spécifiques, celui qui aura induit en erreur des tiers de bonne foi sur sa formation, ses compétences et sur ses activités dans le domaine des soins.</w:t>
      </w:r>
    </w:p>
    <w:p>
      <w:r>
        <w:rPr>
          <w:b/>
        </w:rPr>
        <w:t>E. 4.3</w:t>
      </w:r>
    </w:p>
    <w:p>
      <w:r>
        <w:t>En l'espèce, le prévenu s'est présenté à ses patients comme le " Dr A______ ", pratiquant la médecine générale et habilité à réaliser des prescriptions. Cela implique à tout le moins implicitement qu'il avait obtenu un diplôme suisse ou une reconnaissance de son diplôme étranger. Il a donc fait croire à ses patients qu'il était titulaire d'un tel diplôme ou d'une telle reconnaissance. Peu importe, dès lors qu'il a effectivement exercé dans un cabinet médical, qu'ils ne se soient pas expressément présenté comme " docteur en médecine ", précision qui allait de soi au vu du contexte. Le prévenu a ainsi attenté à la protection conférée par la LPMéd au titre de diplôme et s'est ainsi rendu coupable de contravention au sens de l'art. 58 let. b LPMéd. Au vu du but poursuivi par cette disposition, soit la confiance des tiers dans les qualités du titulaire d'un diplôme, elle absorbe la contravention à l'art. 134 al. 1 let. c LS, laquelle réserve les sanctions pénales de rang fédéral. La contravention cantonale ne sera ainsi pas retenue en sus, sans que cela entraîne un acquittement complémentaire, les faits visés par l'acte d'accusation sur ce point (ch. III et IV) se recoupant ( cf. supra let. A.c.c. et A.c.d). La prescription des faits antérieurs au 5 février 2017 (art. 109 CP) n'est pour le surplus pas remise en cause.</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 Du point de vue subjectif, sont pris en compte l'intensité de la volonté délictuelle ainsi que les motivations et les buts de l'auteur (subjektive Tatkomponente) . À ces composantes de la culpabilité, il faut ajouter les facteurs liés à l'auteur lui-même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5.2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5.3</w:t>
      </w:r>
    </w:p>
    <w:p>
      <w:r>
        <w:t>Le juge impute sur la peine la détention avant jugement subie par l'auteur dans le cadre de l'affaire qui vient d'être jugée ou d'une autre procédure (art. 51 al. 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6B_352/2018 du 27 juillet 2018 consid. 5.1)</w:t>
      </w:r>
    </w:p>
    <w:p>
      <w:r>
        <w:rPr>
          <w:b/>
        </w:rPr>
        <w:t>E. 5.4</w:t>
      </w:r>
    </w:p>
    <w:p>
      <w:r>
        <w:t>À teneur de l'art. 106 CP, le montant maximum de l'amende est, sauf exception, de CHF 10'000.- (al. 1). Le juge prononce dans son jugement, pour le cas où, de manière fautive, le condamné ne paie pas l'amende, une peine privative de liberté de substitution d'un jour au moins et de trois mois au plus (al. 2 CP). L'amende et la peine privative de liberté de substitution doivent être fixées en tenant compte de la situation de l'auteur afin que la peine corresponde à la faute commise (al. 3). Un jour de peine privative de liberté de substitution correspond schématiquement à CHF 100.- d'amende (R. ROTH / L. MOREILLON [éds], Code pénal I : art. 1-100 CP , Bâle 2009, n. 19 ad art. 106). L'art. 106 CP s'applique à titre de droit cantonal supplétif sauf prescription contraire de la loi (art. 1 al. 1 let. a de la loi pénale genevois [LPG - RSGe E 405]).</w:t>
      </w:r>
    </w:p>
    <w:p>
      <w:r>
        <w:rPr>
          <w:b/>
        </w:rPr>
        <w:t>E. 5.5</w:t>
      </w:r>
    </w:p>
    <w:p>
      <w:r>
        <w:t>En l'espèce, la faute de l'appelant est lourde aussi bien en relation avec l'infraction d'escroquerie par métier que celle de faux dans les titres. Parfaitement conscient de l'absence de reconnaissance de son diplôme en Suisse, de l'impossibilité en découlant d'exercer au titre d'indépendant et ainsi de facturer ses prestations à la charge de l'assurance-obligatoire, il a usurpé l'identité de médecins tiers sur une période de neuf ans. Il a tiré profit du système de remboursement des prestations par l'assurance-obligatoire, reposant sur la confiance existant entre les prestataires de soins et les assurances, en utilisant les connaissances acquises à ce sujet dans sa pratique de médecin-assistant. Il a ainsi indûment encaissé plusieurs millions de francs d'honoraires. Ni les différents sanctions et rappels de la DGS en 2009 et 2010 ni l'interdiction de pratiquer la médecine qui lui a été signifiée fin 2016 ne l'ont amené à modifier son comportement. Il n'a ainsi mis fin à son activité que de façon contrainte après son arrestation en mars 2018. Quoi qu'il en dise, il a été mû par l'appât du gain. Pour poursuivre une pratique certes moins lucrative mais légale après l'échec à ses examens, il lui aurait été loisible, selon ses propres explications, d'exercer au titre de médecin-assistant dans un hôpital ou, à titre indépendant, la médecine complémentaire dans les domaines de l'acupuncture, du laser ou du conseil diététique. Bien qu'il ait en définitive reconnu avoir pratiqué la médecine de manière illégale, il ressort de ses propos jusqu'en appel qu'il n'assume pas sa faute et considère la procédure pénale comme une injustice. Ambivalent, il a sporadiquement persisté à prétendre avoir eu de bonnes raisons de se considérer comme autorisé à exercer comme médecin. A ses yeux, il aurait somme toute légitimement poursuivi dans sa propre structure une activité assimilable à celle d'un médecin-assistant et son défaut d'habilitation d'exercer à titre indépendant relèverait d'une simple irrégularité administrative dont on ne devrait pas lui tenir autant rigueur. Il ressort d'une telle position une prise de conscience de la faute et des regrets plutôt minces voire inexistants. Au vu de ce qui précède, de la durée et de l'importance des agissements ainsi que de la quasi-absence de repentir, le délit le plus grave, soit l'infraction d'escroquerie par métier, aurait justifié à elle seule le prononcé d'une peine privative de liberté de trois ans. Cette dernière est à plus forte raison conforme au droit en tenant compte du concours avec les faux dans les titres, ainsi que les infractions à l'art. 19 al. 1 let. c LStup non contestées en appel. Elle sera donc confirmée. Le sursis partiel est pour le surplus acquis à l'appelant (art. 391 al. 2 CPP) et la partie ferme de la peine, fixée au minimum légal, n'est pas contestable (art. 43 al. 3 CP). Il en va de même du délai d'épreuve dont la durée est conforme au droit au vu d'un risque de récidive résiduel résultant d'une prise de conscience insuffisante de la faute (art. 44 al. 1 CP).</w:t>
      </w:r>
    </w:p>
    <w:p>
      <w:r>
        <w:rPr>
          <w:b/>
        </w:rPr>
        <w:t>E. 5.7</w:t>
      </w:r>
    </w:p>
    <w:p>
      <w:r>
        <w:t>L'imputation sur la peine privative de liberté des 94 jours de détention avant jugement est conforme au droit et sera confirmée. Il en ira de même des 124 jours imputés au titre des mesures de substitution. Le rapport appliqué par les premiers juges, d'un jour de détention imputé pour cinq jours de mesures de substitution subies, est en effet exempt de critique eu égard à la nature de ces dernières, impliquant en substance de résider et demeurer en Suisse. Le fait que le TCO ait pris en considération 619 jours au lieu de 589 jours ( cf. jugement querellé consid. 9.2.2) n'appelle aucune correction, en conformité au principe de l'interdiction de la reformatio in pejus (art. 391 al. 2 CPP). Faute de détention avant jugement et de mesures de contrainte excédant la durée de la peine prononcée, le rejet des prétentions en indemnisation du tort moral de l'appelant sera confirmé (art. 431 al. 2 a contrario et al. 3 let. b CPP).</w:t>
      </w:r>
    </w:p>
    <w:p>
      <w:r>
        <w:rPr>
          <w:b/>
        </w:rPr>
        <w:t>E. 5.8</w:t>
      </w:r>
    </w:p>
    <w:p>
      <w:r>
        <w:t>La faute de l'appelant est d'assez lourde à plutôt lourde en relation avec les différentes contraventions retenues contre lui, eu égard à la durée des périodes pénales en cause et pour le reste au mêmes motifs que ceux retenus ci-avant (persistance de l'activité contraventionnelle nonobstant des rappels à l'ordre, sanctions et interdiction, absence de nécessité de pratiquer la médecine générale, absence de reconnaissance de la faute). Pour mémoire, en sus de la contravention à l'art 58 let. b LPMéd susexaminée, absorbant celle à l'art. 134 al. 1 let. c LS, l'appelant s'est également rendu coupable des contraventions ci-dessous, non remises en cause en appel : -     contravention à l'art. 87 al. 1 let. f LPTh, punissable d'une amende de CHF 50'000.-, pour avoir prescrit des médicaments soumis à ordonnance pendant la période, non prescrite, du 5 février 2015 au 26 mars 2018 ( cf. supra let. A.c.e) ; -     contraventions à l'art. 134 al. 1 let. d et e LS pour avoir en substance exercé la médecine sans autorisation durant la période, non prescrite, du 5 février 2017 au 26 mars 2018 (cf. supra let. A.c.d). La seule contravention à l'art. 87 al. 1 let. f LTPh, la plus grave au vu de la durée de la période pénale et de la peine menace, justifie une amende de CHF 5'000.-, eu égard à ladite période pénale et plus généralement à la faute plutôt lourde. Une telle amende est à plus forte raison conforme au droit en tenant compte de l'aggravante du concours avec les autres contraventions. Elle sera donc confirmée, tout comme la peine privative de liberté de substitution de 50 jours, correspondant à l'échelle admise d'un jour pour CHF 100.-.</w:t>
      </w:r>
    </w:p>
    <w:p>
      <w:r>
        <w:rPr>
          <w:b/>
        </w:rPr>
        <w:t>E. 6</w:t>
      </w:r>
    </w:p>
    <w:p>
      <w:r>
        <w:t>6.1. 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lorsqu'il rend un verdict de culpabilité à l'encontre du prévenu (art. 126 al. 1 let. a CPP). Les prétentions civiles que peut faire valoir la partie plaignante sont ainsi exclusivement celles qui sont déduites de l'infraction, de sorte qu'elles doivent découler d'une ou de plusieurs infractions qui, dans un premier temps, sont l'objet des investigations menées dans la procédure préliminaire, puis, dans un second temps, figurent dans l'acte d'accusation élaboré par le ministère public (arrêts du Tribunal fédéral 6B_11/2017 du 29 août 2017 consid. 1.2 et 6B_267/2016 du 15 février 2017 consid. 6.1). L'art. 126 al. 3 CPP autorise le tribunal, dans le cas où le jugement complet des conclusions civiles exigerait un travail disproportionné, de traiter celles-ci seulement dans leur principe et, pour le surplus, renvoyer la partie plaignante à agir par la voie civile. Le travail disproportionné doit être occasionné par l'administration des preuves et non par la qualification juridique. Un tel cas de figure se produit, par exemple, lorsque de longues expertises sont nécessaires pour chiffrer le montant du dommage en cas de lésions corporelles ou que le processus de guérison n'est pas achevé, ou encore lorsqu'il se pourrait que le dommage corporel subi laisse des séquelles (arrêt du Tribunal fédéral 6B_434/2018 du 12 septembre 2018 consid. 1.1).</w:t>
      </w:r>
    </w:p>
    <w:p>
      <w:r>
        <w:rPr>
          <w:b/>
        </w:rPr>
        <w:t>E. 6.2</w:t>
      </w:r>
    </w:p>
    <w:p>
      <w:r>
        <w:t>En l'espèce, les parties plaignantes ont chiffré et motivé leurs prétentions en réparation du dommage subi, correspondant aux montants versés au prévenu, à leurs assurés ou aux pharmacies et laboratoires, en remboursement des honoraires et prescriptions facturées entre 2009 et 2018 sous les identités de P______, V______ et Q______, après déduction des franchises et quotes-parts à la charge des assurés. Sur le principe, il est établi que les parties plaignantes ont subi un dommage résultant des infractions d'escroquerie par métier et de faux dans les titres à hauteur de ces montants. Au titre de preuves, à l'exception de O______, elles ont produit un grand nombre des factures sur lesquelles elles ont fondé leurs prétentions. Seul le GROUPE C______ semble toutefois en avoir transmis l'intégralité. Ce dernier et F______ ont également dressé des tableaux listant et donnant le détail de l'ensemble desdites factures, dont il résulte notamment le montant net assumé pour le compte des assurés. Le décompte des parties plaignantes est cependant entièrement contesté et l'examen du bien-fondé de leurs prétentions exigerait un travail colossal. Après avoir obtenu de chacune d'elles qu'elles produisent un tableau exhaustif et détaillé des montants versés ainsi que l'intégralité des factures en cause, il s'agira en effet de vérifier que chacune de celles-ci correspond à chacun de ceux-là, étant rappelé que les prétentions des parties plaignantes reposent sur des milliers de factures. Le seul examen des 16'853 pièces certes incomplètes mais déjà produites à ce titre (7'116 pour le groupe C______, 672 pour F______ et 8'466 pour le GROUPE C______) exigerait un travail disproportionné. Cela fait, il sera encore nécessaire de vérifier que les montants nets fixés par les assurances ont effectivement été versés, et enfin dans quelle mesure ils n'ont pas été remboursés aux assurances dans le cadre des accords passés entre le prévenu et [l'organisation] X______ ( cf. supra let. B.f). Au vu de ce qui précède, les conclusions civiles des parties plaignantes seront admises sur le principe et celles-ci seront pour le surplus renvoyées à agir par la voie civile.</w:t>
      </w:r>
    </w:p>
    <w:p>
      <w:r>
        <w:rPr>
          <w:b/>
        </w:rPr>
        <w:t>E. 7</w:t>
      </w:r>
    </w:p>
    <w:p>
      <w:r>
        <w:t>7.1.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peut porter tant sur le produit direct de l'infraction que sur les objets acquis au moyen de ce produit dans la mesure où les différentes transactions peuvent être identifiées et documentées (" Papierspur ", " paper trail "). Ce qui compte est que le mouvement des valeurs puisse être reconstitué de manière à établir leur lien avec l'infraction (ATF 126 I 97 consid. 3c/bb p. 105; arrêts 6B_1000/2019 du 19 février 2019 consid. 13.1; 6S.298/2005 du 24 février 2006 consid. 3.1).</w:t>
      </w:r>
    </w:p>
    <w:p>
      <w:r>
        <w:rPr>
          <w:b/>
        </w:rPr>
        <w:t>E. 7.2</w:t>
      </w:r>
    </w:p>
    <w:p>
      <w:r>
        <w:t>Lorsque les valeurs patrimoniales à confisquer ne sont plus disponibles, l'art. 71 CP autorise le juge à ordonner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 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sans toutefois la nécessité d'un lien de connexité entre les valeurs saisies et l'infraction commise (ATF 140 IV 57 consid. 4.1.2 et les références citées). Souvent les valeurs délictueuses sont versées sur un compte bancaire, de sorte qu'elles sont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n'est nécessaire que si le mouvement des valeurs ne peut pas être identifié (arrêts du Tribunal fédéral 6B_67/2019 du 16 décembre 2020 consid. 5.12.1 et 1B_22/2017 du 24 mars 2017 consid. 2).</w:t>
      </w:r>
    </w:p>
    <w:p>
      <w:r>
        <w:rPr>
          <w:b/>
        </w:rPr>
        <w:t>E. 7.3</w:t>
      </w:r>
    </w:p>
    <w:p>
      <w:r>
        <w:t>Aux termes de l'art. 71 al. 3 CP, 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 Le séquestre pénal est une mesure conservatoire provisoire destinée à préserver les objets ou valeurs qui peuvent notamment servir à l'exécution d'une créance compensatrice. Dans ce cas, il peut certes porter sur tous les biens, valeurs et/ou revenus de l'intéressé sans qu'un lien de connexité avec l'infraction ne soit exigé, mais il doit respecter le principe de proportionnalité, notamment sous l'angle du respect des conditions minimales d'existence. Le séquestre conservatoire est maintenu une fois le jugement entré en force jusqu'à son remplacement par une mesure du droit des poursuites (ATF 141 IV 360 consid. 3.2)</w:t>
      </w:r>
    </w:p>
    <w:p>
      <w:r>
        <w:rPr>
          <w:b/>
        </w:rPr>
        <w:t>E. 7.4</w:t>
      </w:r>
    </w:p>
    <w:p>
      <w:r>
        <w:t>Selon l'art. 73 al. 1 let. b 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ainsi que les créances compensatrices. Le juge ne peut ordonner cette mesure que si le lésé cède à l'État une part correspondante de sa créance (art. 73 al. 2 CP). Sous réserve d'abus de droit, de prescription et d'entrée en force d'une décision contraire, le lésé peut demander l'allocation de la créance compensatrice après la décision de mise sous séquestre, durant la procédure d'appel ou dans le cadre d'une procédure ultérieure (M. NIGGLI / H. WIPRÄCHTIGER, Basler Kommentar Strafrecht I : Art. 1-110 StGB , 4 e éd., Bâle 2019, n° 19 ad art. 73). L'allocation au sens de l'art. 73 CP suppose, en particulier, que le préjudice et son montant soient fixés par jugement ou par transaction (ATF 145 IV 237 consid. 3.1 et 5.1). Le lésé a ainsi le devoir de présenter un jugement exécutoire ou un autre titre de mainlevée définitive. Les raisons pour lesquelles il ne serait pas en mesure de le faire ne sont pas pertinentes. L'Etat n'a pas le devoir de s'assurer de l'indemnisation du lésé (arrêts du Tribunal fédéral 6B_1353/2019 du 23 septembre 2020 consid. 3.2 et 6B_906/2010 du 31 janvier 2011 consid. 2.3.2).</w:t>
      </w:r>
    </w:p>
    <w:p>
      <w:r>
        <w:rPr>
          <w:b/>
        </w:rPr>
        <w:t>E. 7.5</w:t>
      </w:r>
    </w:p>
    <w:p>
      <w:r>
        <w:t>En l'espèce, il est établi que les assurances ont remboursé le coût d'honoraires facturés sous l'identité des médecins P______, Q______ et V______ sur les comptes de T______ SA ainsi que, au départ et dans une moindre mesure, sur le compte AI______ de l'appelant ( cf. supra let. B.l.). On ignore toutefois qui a effectué les versements par bulletins de versement ou par l'intermédiaire de [l'organisme de recouvrement] AM______, présumés constituer des honoraires et totalisant CHF 4'228'080.- (CHF 3'420'000.- sur le compte S______ de T______ SA, CHF 526'080.- sur le compte R______ de T______ SA et CHF 282'000.- sur le compte AI______ de l'appelant). Or, ces montants, pouvant provenir aussi bien directement des patients, dans le cadre d'une convention de remboursement selon le système du tiers garant, que d'autres assurances non parties à la procédure, n'ont pas forcément été versés par les parties plaignantes. Les relevés de compte au dossier ne permettent en définitive d'identifier les auteurs des versements avec l'une d'elles qu'en lien avec un petit nombre de mouvements, totalisant CHF 14'247.35 (CHF 7'992.45 sur le compte S______ et CHF 6'254.90 sur le compte R______). Ces montants ne sont plus disponibles. Les soldes initiaux, intermédiaires et finaux des deux comptes de T______ SA montrent en effet que les valeurs y déposées ont été utilisées au fur et à mesure pour couvrir les charges du cabinet ou de son propriétaire ( cf. supra let. B.l.a. et B.l.b). Il n'est pas non plus possible de retracer l'utilisation de l'un ou l'autre des versements des assurances, au vu du nombre de crédits et débits divers opérés sur les deux comptes pour des montants très variables. Il ne résulte plus particulièrement pas des relevés de compte au dossier de lien suffisant entre l'un des montants versés par les assurances sur le compte S______ de T______ SA et l'un de ceux crédités depuis ce compte en faveur du prévenu, pour un total de CHF 522'000.- ( cf. supra let. B.l.c.). 7.6.1. Au vu de ce qui précède, aucune confiscation ne peut être ordonnée sur les comptes de T______ SA et une créance compensatrice sera prononcée contre la société à hauteur de CHF 14'247.35. Seul le séquestre du compte R______ sera maintenu à concurrence de ce montant pour garantir l'exécution de la créance compensatrice. Ledit séquestre sera levé pour le surplus, tout comme celui frappant le compte S______. Le jugement querellé sera réformé en ce sens. 7.6.2. Il n'est pas établi à satisfaction de droit que le compte du prévenu aurait abrité une partie du produit des infractions, à défaut de lien suffisant entre celui-ci et le montant de CHF 522'000.- reçu de T______ SA ou les CHF 282'000.- encaissés par BVR. Aucune créance compensatrice ne peut dès lors être prononcée contre lui et le solde de son compte ne peut pas non plus être confisqué et alloué aux parties plaignantes. Leurs conclusions dans ce sens seront dès lors rejetées. Le séquestre dudit compte sera en conséquence levé, après due compensation avec la créance de l'Etat en paiement des frais qui seront mis à la charge du prévenu (art. 442 al. 4 CPP).</w:t>
      </w:r>
    </w:p>
    <w:p>
      <w:r>
        <w:rPr>
          <w:b/>
        </w:rPr>
        <w:t>E. 7.7</w:t>
      </w:r>
    </w:p>
    <w:p>
      <w:r>
        <w:t>Seules les assurances représentées par le GROUPE C______ ont requis l'allocation de la créance compensatrice à la hauteur de leurs prétentions civiles admises. Si une telle requête est encore recevable en appel, elle devra être rejetée faute pour les parties plaignantes d'avoir pu produire un jugement condamnatoire sur ce point, étant rappelé qu'elles sont renvoyées à agir par la voie civile dans le cadre de la présente procédure.</w:t>
      </w:r>
    </w:p>
    <w:p>
      <w:r>
        <w:rPr>
          <w:b/>
        </w:rPr>
        <w:t>E. 8</w:t>
      </w:r>
    </w:p>
    <w:p>
      <w:r>
        <w:t>8.1. L'Etat assumant la responsabilité de l'action pénale, les frais de la procédure et de défense sont mis à sa charge, sauf disposition contraire (art. 423 al. 1, 426, 427 et 429 à 432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L'on songe plutôt à la dénonciation calomnieuse au sens de l'art. 303 CP. Selon la jurisprudence, le dénonciateur qui utilise le droit de dénoncer à des fins étrangères à celles pour lesquelles ce droit a été prévu agit par négligence grave (arrêt du Tribunal fédéral 6B_638/2020 du 3 février 2021 consid. 2.2 et les références citées).</w:t>
      </w:r>
    </w:p>
    <w:p>
      <w:r>
        <w:rPr>
          <w:b/>
        </w:rPr>
        <w:t>E. 8.2</w:t>
      </w:r>
    </w:p>
    <w:p>
      <w:r>
        <w:t>En l'espèce, une procédure a été ouverte puis classée contre Q______, soupçonné d'avoir permis au prévenu de pratiquer la médecine générale en le laissant recourir à son code RCC et à des ordonnances établies à son nom. Il ne ressort pas de la procédure que l'appelant aurait voulu l'ouverture d'une procédure pénale contre Q______ au moment des faits. Au titre de prévenu, il ne peut par ailleurs pas lui être imputé à faute de n'avoir pas tout de suite dit la vérité à leur sujet. Il est en revanche établi qu'interrogé sur l'implication de Q______, il a tenu des propos largement ambivalents et l'a mis en cause, laissant entendre que ce dernier était praticien au cabinet W______ et pour le moins au courant de l'utilisation de son code RCC bien avant 2017. En confrontation, il est revenu sur la plupart de ses déclarations, mais les a maintenues en partie, notamment en persistant à affirmer que Q______ savait que son code RCC serait utilisé. Il ressort par ailleurs du dossier qu'il a affirmé à des tiers que le précité était actif au cabinet W______. Or, la procédure a établi qu'il n'en était rien. L'appelant ne s'est ainsi pas contenté de contester sa culpabilité, ce qui ne peut pas lui être reproché en tant que tel. Il a entretenu à dessein une incertitude sur l'implication de Q______ et ainsi conduit le MP, par un comportement pouvant à tout le moins être qualifié de négligence grave, à également ouvrir une procédure pénale contre ce dernier. La condamnation de l'appelant à rembourser à l'Etat les frais de défense de Q______, soit de payer CHF 40'417.08, sera dès lors confirmée.</w:t>
      </w:r>
    </w:p>
    <w:p>
      <w:r>
        <w:rPr>
          <w:b/>
        </w:rPr>
        <w:t>E. 9</w:t>
      </w:r>
    </w:p>
    <w:p>
      <w:r>
        <w:t>9.1. Si l'autorité de recours rend elle-même une nouvelle décision, elle se prononce également sur les frais fixés par l'autorité inférieure (art. 428 al. 3 CPP). En l'espèce, le prévenu a certes été acquitté des contraventions aux art. 58 let. c LPMéd et 134 al. 1 let. i LS, et la procédure a été classée pour certaines périodes en lien avec les contraventions et l'infraction à la LStup. Il n'en demeure pas moins que sa culpabilité a été reconnue en relation avec la quasi-intégralité des chefs d'accusation, de sorte qu'il se justifie de répartir les frais de procédure préliminaire et de première instance entre lui et P______, également reconnu coupable (art. 426 al. 1 et 418 al. 1 CPP). La seule charge pour laquelle l'appelant a matériellement été acquitté, soit le fait d'avoir exploité sans droit la société T______ SA et le cabinet W______, représente un point mineur de l'accusation, n'ayant pas nécessité de mesure d'instruction indépendante (art. 134 al. 1 let. i LS ; cf. supra let. A.c.d.). Le recours à la société et au cabinet précités était en outre un élément essentiel à appréhender, en particulier dans l'examen de l'infraction d'escroquerie. Le second acquittement, de contravention à l'art. 58 let. c LPMéd, est sans portée, cette disposition ne visant pas des faits qui étaient reprochés au prévenu ( cf. supra let. A.c.c.). La clef de répartition fixée par les premiers juges, de deux tiers et un tiers, n'est pas critiquable au vu des charges substantiellement plus lourdes retenues contre l'appelant et du principe selon lequel chaque prévenu doit supporter les frais qu'il a causés (art. 426 al. 1 CPP ; arrêt du Tribunal fédéral 6B_51/2020 du 4 février 2020 consid. 2.1). Sa condamnation à assumer deux tiers des frais de la procédure préliminaire et de première instance sera dès lors confirmée.</w:t>
      </w:r>
    </w:p>
    <w:p>
      <w:r>
        <w:rPr>
          <w:b/>
        </w:rPr>
        <w:t>E. 9.2</w:t>
      </w:r>
    </w:p>
    <w:p>
      <w:r>
        <w:t>F______ a dûment motivé et justifié les frais assumés par ses représentants en première instance ( cf. supra let. B.m.b.b.). Ayant obtenu gain de cause au pénal, elle était fondée à en exiger le remboursement par le prévenu (art. 433 al. 1 let. a CPP). La condamnation de ce dernier à lui verser CHF 2'185.60 à ce titre sera dès lors confirmée.</w:t>
      </w:r>
    </w:p>
    <w:p>
      <w:r>
        <w:rPr>
          <w:b/>
        </w:rPr>
        <w:t>E. 9.3</w:t>
      </w:r>
    </w:p>
    <w:p>
      <w:r>
        <w:t>En seconde instance, l'appelant succombe pour l'essentiel et n'obtient gain de cause que sur le renvoi des parties plaignantes à agir par la voie civile. Il supportera dès lors trois quarts des frais de la procédure d'appel, qui comprendront un émolument CHF 5'000.- (art. 14 al. 1 let. e du règlement fixant le tarif des frais en matière pénale [RTFMP - E 4 10.03]). Un quart des frais sera mis à la charge des parties plaignantes, à l'exception de O______ dont la situation est inchangée, à hauteur de 1/12 ème de chacun des trois autres assurances ou groupes d'assurances.</w:t>
      </w:r>
    </w:p>
    <w:p>
      <w:r>
        <w:rPr>
          <w:b/>
        </w:rPr>
        <w:t>E. 10</w:t>
      </w:r>
    </w:p>
    <w:p>
      <w:r>
        <w:t>10.1.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Il en va de de même d'autres documents ne nécessitant pas ou peu de motivation ou autre investissement particulier en termes de travail juridique, telle l'annonce d'appel ( AARP/184/2016 du 28 avril 2016 consid. 5.2.3.2 et 5.3.1 ;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w:t>
      </w:r>
    </w:p>
    <w:p>
      <w:r>
        <w:rPr>
          <w:b/>
        </w:rPr>
        <w:t>E. 10.3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10.4</w:t>
      </w:r>
    </w:p>
    <w:p>
      <w:r>
        <w:t>En l'espèce, l'activité de 6h30 comptabilisée en appel par la précédente défenseure d'office du prévenu, Me AO______, en relation avec l'examen du jugement querellé par la stagiaire est trop élevée. Si la longueur de cette décision justifie exceptionnellement l'indemnisation séparée d'une première lecture, 3h00 apparaissent suffisantes à cet effet. Pour le surplus, l'activité relative à la rédaction de l'annonce et de la déclaration d'appel est incluse dans le forfait pour activités diverses. La rémunération de M e AO______ sera ainsi arrêtée à CHF 390.95, correspondant à 3h00 d'activité au tarif de CHF 110.-/heure (CHF 330.-), plus la majoration de 10% au vu de l'activité déjà indemnisée en première instance (CHF 33.-) et l'équivalent de la TVA au taux de 7.7 % en CHF 27.95.</w:t>
      </w:r>
    </w:p>
    <w:p>
      <w:r>
        <w:rPr>
          <w:b/>
        </w:rPr>
        <w:t>E. 10.5</w:t>
      </w:r>
    </w:p>
    <w:p>
      <w:r>
        <w:t>L'activité comptabilisée par M e B______, nouvelle défenseure d'office, au titre de collaboratrice, à hauteur de 4h00 et 26h00 en lien avec les entretiens avec le client et la préparation aux débats, apparaît trop élevée. Il est rappelé qu'elle connaissait déjà la cause, ayant assisté la précédente défenseure d'office en tant que stagiaire. Les deux postes précités seront respectivement indemnisés à hauteur de 2h00 et 18h00, pour tenir compte de la durée nécessaire à un avocat connaissant déjà le dossier, eu égard à la nature et la complexité de la cause, pour s'entretenir suffisamment avec son client et préparer les débats en appel. S'y ajoutent la durée de ceux-ci, de 4h40, et le forfait de déplacement de CHF 75.- pour le collaborateur. La rémunération de Me B______ sera ainsi arrêtée à CHF 4'862.65, correspondant à 24h40 d'activité au tarif de CHF 150.-/heure (CHF 3'700.-), plus la majoration de 20% (CHF 740.-), le forfait de déplacement (CHF 75.-) et l'équivalent de la TVA au taux de 7.7% en CHF 347.65.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