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P/8529/2017 vom 9. November 2017</w:t>
      </w:r>
    </w:p>
    <w:p>
      <w:r>
        <w:t>GE Cour de justice, 2017-11-09, FR</w:t>
      </w:r>
    </w:p>
    <w:p>
      <w:r>
        <w:rPr>
          <w:b/>
        </w:rPr>
        <w:t xml:space="preserve">Quelle: </w:t>
      </w:r>
      <w:r>
        <w:t>https://mcp.opencaselaw.ch/entscheid/ge_gerichte_P_8529_2017</w:t>
      </w:r>
    </w:p>
    <w:p>
      <w:r>
        <w:t>FR: GE_GERICHTE P/8529/2017 du 9 novembre 2017</w:t>
      </w:r>
    </w:p>
    <w:p>
      <w:r>
        <w:t>IT: GE_GERICHTE P/8529/2017 del 9 novembre 2017</w:t>
      </w:r>
    </w:p>
    <w:p>
      <w:pPr>
        <w:pStyle w:val="Heading2"/>
      </w:pPr>
      <w:r>
        <w:t>Erwägungen</w:t>
      </w:r>
    </w:p>
    <w:p>
      <w:r>
        <w:rPr>
          <w:b/>
        </w:rPr>
        <w:t>E. 1</w:t>
      </w:r>
    </w:p>
    <w:p>
      <w:r>
        <w:t>La demande de révision a été transmise à l'autorité compétente pour en connaitre comme prévu par la loi (art. 411 al. 1 CPP).</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 Elle résulte en particulier du fait qu’en procédure pénale il incombe à l’accusation de prouver la culpabilité de l’auteur. 2.1.2. Aux termes de l'art. 412 al. 1 et 2 CPP, la juridiction d'appel examine préalablement la demande de révision en procédure écrite. Elle n'entre pas en matière si la demande est manifestement irrecevable. Il s'agit de la phase durant laquelle "la juridiction supérieure examine tout d'abord si les conditions nécessaires pour ouvrir une procédure de révision sont données. L'autorité supérieure constate (…) s'il existe des causes de révision in abstracto" (G. PIQUEREZ / A. MACALUSO, op. cit., Zurich 2011, n. 2108). L'examen préalable sert avant tout à constater si les motifs invoqués à l'appui de la demande en révision sont vraisemblables (Message, op. cit., FF 2006, notamment 1305 ad ancien art. 419 - actuel 412 CPP ; A. DONATSCH / T. HANSJAKOB / V. LIEBER (éds), Kommentar zur Schweizerischen Strafprozess-ordnung (StPO), Zurich 2010, n. 1 art. 412 CPP). La procédure de non-entrée en matière de l’art. 412 al. 2 CPP est en principe réservée à des vices de nature formelle (cf. M. NIGGLI / M. HEER / H. WIPRÄCHTIGER, S chweizerische Strafprozessordnung / Schweizerische Jugendstrafprozessordnung, Basler Kommentar StPO/JStPO ,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 1.1 et 6B_310/2011 du 20 juin 2011 consid. 1.6 ; N. SCHMID, Schweizerische Strafprozessordnung : Praxiskommentar , Zurich 2009, n. 1 ad art. 412 CPP ; A. KUHN / Y. JEANNERET (éds.), Commentaire romand : Code de procédure pénale suisse ,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 2.2.1. En l'occurrence, l'ordonnance pénale querellée est assimilée à un jugement (art. 354 al. 3 CPP). Elle n'a en effet pas été frappée d'une opposition dans le délai légal et, en l'état, il n'a pas été jugé que celle faite tardivement serait néanmoins valable. Dite ordonnance est donc susceptible de révision. 2.2.2. Il est vrai que cette décision paraît omettre l'existence du jugement du TAPI réduisant le périmètre et la durée de l'interdiction d'entrée. Pour autant, il est douteux que le jugement en question puisse être qualifié d'élément " nouveau " au sens de l'art. 410 al. 1 let. a CPP, soit d'" inconnu " du MP à l'heure du prononcé de dite ordonnance, dès lors qu'il figurait au dossier. En omettant d'en tenir compte, le MP aurait donc commis une erreur qui n'aurait pu, voire ne pourrait, être rectifiée que par la voie d'une opposition, formée valablement. 2.2.3. La question souffre cependant de demeurer ouverte, dès lors qu'en tout état, une rectification de l'accusation intégrant les limitations portées à l'interdiction de pénétrer ne conduirait nullement à une libération du requérant. Il resterait en effet que celui-ci s'est trouvé, à Genève, à la rue de Berne en date du 20 avril 2017, soit dans le périmètre et durant la période de six mois courant depuis le 22 novembre 2016. Certes, le dossier ne dit pas si la carte évoquée dans le jugement du TAPI a été communiquée au défenseur du requérant mais ce dernier ne prétend pas que tel n'aurait pas été le cas, et, en toute hypothèse, il est indiscutable que la rue de Berne fait partie du centre-ville. En d'autres termes, le requérant a en tout état contrevenu à l'interdiction de périmètre, telle que réduite par le TAPI. La demande de révision est ainsi manifestement irrecevable, le motif sur lequel elle est fondée paraissant d'emblée impropre à justifier le prononcé d'une décision plus favorable au requérant.</w:t>
      </w:r>
    </w:p>
    <w:p>
      <w:r>
        <w:rPr>
          <w:b/>
        </w:rPr>
        <w:t>E. 3</w:t>
      </w:r>
    </w:p>
    <w:p>
      <w:r>
        <w:t>Vu l'issue de la procédure, il n'y a pas lieu de désigner un défenseur d'office au requérant, lequel supportera les frais de la procédure, comprenant un émolument d'arrêt de CHF 1'000.- (art. 429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