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P/8499/2012 vom 12. November 2013</w:t>
      </w:r>
    </w:p>
    <w:p>
      <w:r>
        <w:t>GE Cour de justice, 2013-11-12, FR</w:t>
      </w:r>
    </w:p>
    <w:p>
      <w:r>
        <w:rPr>
          <w:b/>
        </w:rPr>
        <w:t xml:space="preserve">Quelle: </w:t>
      </w:r>
      <w:r>
        <w:t>https://mcp.opencaselaw.ch/entscheid/ge_gerichte_P_8499_2012</w:t>
      </w:r>
    </w:p>
    <w:p>
      <w:r>
        <w:t>FR: GE_GERICHTE P/8499/2012 du 12 novembre 2013</w:t>
      </w:r>
    </w:p>
    <w:p>
      <w:r>
        <w:t>IT: GE_GERICHTE P/8499/2012 del 12 novembre 2013</w:t>
      </w:r>
    </w:p>
    <w:p>
      <w:pPr>
        <w:pStyle w:val="Heading2"/>
      </w:pPr>
      <w:r>
        <w:t>Regeste</w:t>
      </w:r>
    </w:p>
    <w:p>
      <w:r>
        <w:t>CONTRAVENTION DE POLICE DE DROIT CANTONAL; RÈGLE DE LA CIRCULATION; PROPRIÉTÉ FONCIÈRE | LPG.10; OCR.1.2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rPr>
          <w:b/>
        </w:rPr>
        <w:t>E. 2</w:t>
      </w:r>
    </w:p>
    <w:p>
      <w:r>
        <w:t>2.1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(arrêts du Tribunal fédéral 6B_695/2012 du 9 avril 2013 consid. 2.3.1 et 6B_362/2012 du 29 octobre 2012 consid. 8.4.1).</w:t>
      </w:r>
    </w:p>
    <w:p>
      <w:r>
        <w:rPr>
          <w:b/>
        </w:rPr>
        <w:t>E. 2.2</w:t>
      </w:r>
    </w:p>
    <w:p>
      <w:r>
        <w:t>Le présent appel ne porte que sur des contraventions, de sorte que la production de pièces nouvelles en appel est prohibée. Il ne sera ainsi pas donné suite à la réquisition de preuve de l'appelante, les pièces produites avec le mémoire d'appel étant classées dans une cote séparée, sans être versées à la procédure, sous réserve du relevé d'activité pour la procédure d'appel.</w:t>
      </w:r>
    </w:p>
    <w:p>
      <w:r>
        <w:rPr>
          <w:b/>
        </w:rPr>
        <w:t>E. 2.3</w:t>
      </w:r>
    </w:p>
    <w:p>
      <w:r>
        <w:t>La production du courrier de la Direction de la mobilité du 9 octobre 2013 est admise, au titre d'un avis de droit visant uniquement à renforcer et à développer le point de vue de l'appelante (arrêt du Tribunal fédéral 6B_584/2001 du 11 octobre 2012 consid. 1.2).</w:t>
      </w:r>
    </w:p>
    <w:p>
      <w:r>
        <w:rPr>
          <w:b/>
        </w:rPr>
        <w:t>E. 3</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w:t>
      </w:r>
    </w:p>
    <w:p>
      <w:r>
        <w:t>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 pas interjeté ou que l'autorité saisie n'a pas encore rendu sa décision, l'examen de la légalité par le juge pénal est limité à la violation manifeste de la loi et à l'abus manifeste du pouvoir d'appréciation (arrêt du Tribunal fédéral 6B_15/2012 du 13 avril 2012 et les références citées).</w:t>
      </w:r>
    </w:p>
    <w:p>
      <w:r>
        <w:rPr>
          <w:b/>
        </w:rPr>
        <w:t>E. 5</w:t>
      </w:r>
    </w:p>
    <w:p>
      <w:r>
        <w:t>Le principe de la légalité exige que l'administration n'agisse que dans le cadre fixé par la loi. Cette exigence se traduit de deux manières : d'une part, l'administration doit respecter l'ensemble des prescriptions légales qui la régissent, c'est le principe de primauté de la loi, qui incorpore le principe de la hiérarchie des normes ; d'autre part, l'administration ne peut agir que si la loi le lui permet, selon le principe de l'exigence de la base légale (T. TANQUEREL, Manuel de droit administratif , Genève - Zurich - Bâle 2011, p. 155-158). La primauté de la loi signifie que l'administration doit respecter la loi et s'en tenir à ses prescriptions. Cette obligation découle de la Constitution et ne vaut que pour les règles auxquelles l'autorité est soumise dans l'ordre juridique considéré (T. TANQUEREL, op cit. , p. 158).</w:t>
      </w:r>
    </w:p>
    <w:p>
      <w:r>
        <w:rPr>
          <w:b/>
        </w:rPr>
        <w:t>E. 6.1</w:t>
      </w:r>
    </w:p>
    <w:p>
      <w:r>
        <w:t>L'art. 10 LPG prévoit que celui qui aura violé une interdiction, dûment signalée, de circuler ou de stationner sur le fonds d'autrui sera, sur plainte, puni de l'amende.</w:t>
      </w:r>
    </w:p>
    <w:p>
      <w:r>
        <w:rPr>
          <w:b/>
        </w:rPr>
        <w:t>E. 6.2</w:t>
      </w:r>
    </w:p>
    <w:p>
      <w:r>
        <w:t>Le propriétaire qui entend requérir une interdiction de circulation ou de stationnement sur son fonds doit démontrer que ledit fonds ne constitue pas une voie publique au sens de la législation sur la circulation routière. Si la requête est recevable, une signalisation adéquate est mise en place. (art. 1, 3 et 7 du Règlement concernant la circulation et le stationnement des véhicules sur les terrains privés du 26 juillet 1961 [RCSV ; RS H 1 10.03]).</w:t>
      </w:r>
    </w:p>
    <w:p>
      <w:r>
        <w:rPr>
          <w:b/>
        </w:rPr>
        <w:t>E. 6.3</w:t>
      </w:r>
    </w:p>
    <w:p>
      <w:r>
        <w:t>À teneur de l'art.1 al. 2 de l'ordonnance sur les règles de la circulation routière du 13 novembre 1962 [OCR ; RS 741.11], sont publiques les routes qui ne servent pas exclusivement à l'usage privé. À cet égard, est déterminante la question de savoir si elles sont à disposition d'un nombre indéterminé de personne et non de savoir s'il s'agit d'une propriété privée ou étatique, même si l'usage en est restreint par un but particulier, tel la voie d'accès à une église (arrêt du Tribunal fédéral 6B_507/2012 du 1 er novembre 2012 et les références citées).</w:t>
      </w:r>
    </w:p>
    <w:p>
      <w:r>
        <w:rPr>
          <w:b/>
        </w:rPr>
        <w:t>E. 7</w:t>
      </w:r>
    </w:p>
    <w:p>
      <w:r>
        <w:t>7.1 En l'espèce, c'est à tort que le premier juge a retenu la réalisation d'une infraction pénale par l'appelante, cette dernière n'ayant pu réaliser l'infraction prévue par la loi pénale genevoise. L'élément constitutif objectif de l'interdiction de stationner ou de circuler n'est pas réalisé en présence d'une signalisation manifestement irrégulière. Il est établi que la parcelle litigieuse permet l'accès à une teinturerie et au salon de coiffure de l'appelante. Par définition, un nombre indéterminé de personnes peuvent donc emprunter ce tronçon afin de se rendre aux commerces précités. À teneur de la loi, ledit tronçon est donc une route publique. Or, la requête en interdiction de circulation et de stationnement n'est recevable que si le fonds n'est pas une voie publique. Partant, la pose d'une interdiction de circulation, compris dans un sens large, sur la parcelle attenante aux commerces précités est manifestement illicite, ce que confirme la Direction de la mobilité dans son dernier courrier.</w:t>
      </w:r>
    </w:p>
    <w:p>
      <w:r>
        <w:rPr>
          <w:b/>
        </w:rPr>
        <w:t>E. 7.2</w:t>
      </w:r>
    </w:p>
    <w:p>
      <w:r>
        <w:t>Ainsi, faute de pouvoir restreindre la circulation, au sens large, sur le fonds litigieux, l'administration ne pouvait mettre en place un signalement allant dans ce sens. La condition de signalisation permettant de mettre à l'amende l'appelante du fait que son véhicule était présent sur la parcelle fait défaut. En conséquence, l'appelante sera acquittée du chef de violation d'une interdiction de circuler ou de stationner et le jugement de première instance annulé.</w:t>
      </w:r>
    </w:p>
    <w:p>
      <w:r>
        <w:rPr>
          <w:b/>
        </w:rPr>
        <w:t>E. 8</w:t>
      </w:r>
    </w:p>
    <w:p>
      <w:r>
        <w:t>8.1 L'art. 429 al. 1 let. a CPP prévoit que si le prévenu est acquitté totalement ou en partie ou s'il bénéficie d'une ordonnance de classement, il a droit à une indemnité pour les dépenses occasionnées par l'exercice raisonnable des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8.2</w:t>
      </w:r>
    </w:p>
    <w:p>
      <w:r>
        <w:t>En l'espèce, l'appelante a fait parvenir à la Chambre de céans une note de frais et honoraires datée du 13 juin 2013 d'un montant de CHF 6'883.- correspondant à 19,66 heures d'activité à un taux horaire de CHF 350.-, auquel s'ajoutent CHF 350.- de frais divers et CHF 58.- de débours, soit un total de CHF 7'291.- accompagné d'un relevé des opérations. Ces pièces ont été déposées devant le Tribunal de police. Devant la Chambre de céans, le conseil de l'appelante a produit un relevé de l'activité déployée ultérieurement. Aucun time-sheet n'a été produit. Il convient d'admettre que le recours à un avocat correspondait en l'occurrence à un exercice raisonnable des droits de procédure de l'appelante au sens de l'art. 429 al. 1 let. a CPP. Néanmoins, la note d'honoraires produite ne permet pas de déterminer avec exactitude l'étendue et l'opportunité des actes accomplis dès lors que le temps imparti à chaque activité n'est pas détaillé, ni de résoudre la question de savoir si l'ensemble de l'activité a été déployée par un associé, un collaborateur ou un stagiaire. De plus, au vu de la note d'honoraires produite, l'activité exercée par le conseil de l'appelante pour la défense de ses intérêts dans le cadre de la présente procédure apparaît excessive vu la nature, l'importance et la difficulté, toute relative, de la cause. Au regard du dossier, l'octroi d'une indemnité d'un montant total de CHF 5'000.- auquel s'ajoutera un montant de CHF 400.- correspondant à la TVA de 8 %, apparaît adéquat.</w:t>
      </w:r>
    </w:p>
    <w:p>
      <w:r>
        <w:rPr>
          <w:b/>
        </w:rPr>
        <w:t>E. 9</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