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P/8495/2020 vom 15. Juni 2021</w:t>
      </w:r>
    </w:p>
    <w:p>
      <w:r>
        <w:t>GE Cour de justice, 2021-06-15, FR</w:t>
      </w:r>
    </w:p>
    <w:p>
      <w:r>
        <w:rPr>
          <w:b/>
        </w:rPr>
        <w:t xml:space="preserve">Quelle: </w:t>
      </w:r>
      <w:r>
        <w:t>https://mcp.opencaselaw.ch/entscheid/ge_gerichte_P_8495_2020</w:t>
      </w:r>
    </w:p>
    <w:p>
      <w:r>
        <w:t>FR: GE_GERICHTE P/8495/2020 du 15 juin 2021</w:t>
      </w:r>
    </w:p>
    <w:p>
      <w:r>
        <w:t>IT: GE_GERICHTE P/8495/2020 del 15 giugno 2021</w:t>
      </w:r>
    </w:p>
    <w:p>
      <w:pPr>
        <w:pStyle w:val="Heading2"/>
      </w:pPr>
      <w:r>
        <w:t>Regeste</w:t>
      </w:r>
    </w:p>
    <w:p>
      <w:r>
        <w:t>ENTRÉE ILLÉGALE;COAUTEUR(DROIT PÉNAL) | LStup.19.al1.letb; LStup.19.al1.letd; Lstup.19.al2.leta; LEI.115.al1.leta;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L'art. 19 al. 1 let. b et d réprime celui qui, sans droit, entrepose, expédie, transporte, importe, exporte des stupéfiants ou les passe en transit et celui qui possède, détient ou acquiert des stupéfiants ou s'en procure de toute autre manière. Selon l'art. 19 ch. 2 let. a LStup, le cas est grave lorsque l'auteur sait ou ne peut ignorer que l'infraction peut directement ou indirectement mettre en danger la santé de nombreuses personnes. S'agissant de la quantité pour l'héroïne, la condition objective est remplie dès que l'infraction porte sur une quantité d'au moins 12 grammes de drogue pure (ATF 145 IV 312 consid. 2.1 ; 119 IV 180 ).</w:t>
      </w:r>
    </w:p>
    <w:p>
      <w:r>
        <w:rPr>
          <w:b/>
        </w:rPr>
        <w:t>E. 2.2</w:t>
      </w:r>
    </w:p>
    <w:p>
      <w:r>
        <w:t>Les derniers aveux de l'appelant, s'agissant du transport et de la détention en vue d'importation en Suisse de près de 3,6 kilogrammes d'héroïne sont corroborés tant par les premières déclarations à charge de son comparse - lesquelles permettent de cerner quelle était l'influence du premier sur le second et leurs rôles respectifs - que par les éléments d'investigations techniques en matière de téléphonie qui ont permis de jauger leur crédibilité. Dès lors, le verdict de culpabilité de violation grave de la loi fédérale sur les stupéfiants (art. 19 al. 1 let. b, d et al. 2 let. a LStup) prononcé par les premiers juges sera confirmé.</w:t>
      </w:r>
    </w:p>
    <w:p>
      <w:r>
        <w:rPr>
          <w:b/>
        </w:rPr>
        <w:t>E. 3</w:t>
      </w:r>
    </w:p>
    <w:p>
      <w:r>
        <w:t>3.1. A teneur de l'art. 115 al. 1 let. a LEI, est punit quiconque contrevient aux dispositions sur l'entrée en Suisse (art. 5). 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w:t>
      </w:r>
    </w:p>
    <w:p>
      <w:r>
        <w:rPr>
          <w:b/>
        </w:rPr>
        <w:t>E. 3.2</w:t>
      </w:r>
    </w:p>
    <w:p>
      <w:r>
        <w:t>En l'espèce, l'appelant est entré sur le territoire suisse le 18 mai 2020 dans le but de livrer un sac contenant plusieurs kilogrammes d'héroïne. Il est patent qu'il a porté atteinte à la sécurité et l'ordre publics, de sorte qu'il sera reconnu coupable d'entrée illégale. Le jugement entrepris sera, partant, confirmé sur ce point.</w:t>
      </w:r>
    </w:p>
    <w:p>
      <w:r>
        <w:rPr>
          <w:b/>
        </w:rPr>
        <w:t>E. 4</w:t>
      </w:r>
    </w:p>
    <w:p>
      <w:r>
        <w:t>4.1.1. L'infraction à l'art. 19 al. 1 LStup est réprimée d'une peine privative de liberté de trois ans au plus ou d'une peine pécuniaire. L'alinéa 2 prévoit, pour les cas aggravés, une peine privative de liberté d'un an au moins. L'art. 115 al. 1 let. a LEI est passible d'une peine privative de liberté d'un an au plus ou d'une peine pécuniaire. 4.1.2.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4.1.3.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4.1.4. Dans l'exercice de son pouvoir d'appréciation, le juge doit respecter, en particulier, le principe d'égalité de traitement (art. 8 al. 1 Cst. féd. ;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 4.1.5.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4.1.6.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w:t>
      </w:r>
    </w:p>
    <w:p>
      <w:r>
        <w:rPr>
          <w:b/>
        </w:rPr>
        <w:t>E. 4.2</w:t>
      </w:r>
    </w:p>
    <w:p>
      <w:r>
        <w:t>En l'espèce, la faute de l'appelant est très lourde. Il s'est livré à un trafic international de stupéfiants en traversant plusieurs frontières en vue d'acheminer en Suisse 3,6 kilogrammes d'héroïne. Il a agi en qualité de transporteur. Son rôle se situait apparemment au bas de l'échelle dans le trafic et il a effectué un voyage unique. La quantité de drogue est très importante et son taux de pureté élevé. Ses agissements étaient propres à mettre en danger la santé d'un très grand nombre de consommateurs. Il ne disposait en tout état pas des autorisations nécessaires pour entrer sur le territoire suisse. Ses mobiles sont égoïstes et relèvent de l'appât du gain, quoiqu'en dise l'appelant, ses dernières déclarations à cet égard n'ayant pas une once de crédibilité. Son casier judiciaire suisse ne fait état d'aucun antécédent, ce qui est d'un effet neutre dans la fixation de la peine (cf. ATF 141 IV 61 consid. 6.3.2 p. 70). Il y a concours d'infractions. La situation personnelle de l'appelant n'excuse aucunement ses actes, d'autant qu'il était footballeur professionnel et avait la perspective de gagner sa vie à travers sa passion sportive. Sa collaboration et sa prise de conscience sont mauvaises. Il a persisté à nier son implication tout au long de l'instruction, en dépit des nombreux éléments objectifs à charge, et donné des explications fantaisistes. Ce n'est que devant la juridiction d'appel qu'il a finalement admis avoir transporté de la drogue, poussé par la crainte d'un long séjour carcéral, du moins plus long que celui de son comparse. Ses aveux manquent singulièrement de substance et de sincérité. L'appelant est en effet resté évasif et ses indications ont été imprécises et incohérentes notamment quant à ses déplacements et à la localisation de son téléphone. Il n'a donné aucune indication permettant de déjouer le trafic. Son revirement n'apparaît en définitive dicté que par la peur de la sanction, alors que ses aveux restent autocentrés et ne témoignent pas d'un amendement suffisant pour être du poids qu'il soutient dans la perspective de la fixation de la peine, considérant la gravité de la faute commise. L'infraction la plus grave est l'infraction à la LStup. Elle justifierait une peine privative de liberté d'au minimum 36 mois, à augmenter, en application du principe de l'aggravation, d'une peine additionnelle de quatre mois pour l'infraction à la LEI (peine hypothétique : six mois), soit, au total, une peine privative de liberté d'à tout le moins 40 mois. Il était ainsi adéquat que les premiers juges déterminent la juste peine à hauteur de 40 mois de peine privative de liberté, puis choisissent de la réduire en ce qui concerne D______ en raison de facteurs subjectifs. Cette peine de 40 mois, au demeurant, apparaît se situer dans une fourchette basse au vu de la gravité des faits commis. La différence dans la mesure des peines infligées aux coauteurs se justifie en raison de leur situation personnelle et au vu de leur collaboration, celle du comparse de l'appelant ayant été bien meilleure, étant rappelé que la CPAR n'est pas liée par la quotité arrêtée en première instance pour D______. Bien qu'au stade de l'appel, le verdict de culpabilité de violation grave à la LStup n'est plus remis en cause, l'appelant, comme rappelé supra , n'a en définitive reconnu que du bout des lèvres son implication dans la commission des faits reprochés, tout en minimisant son rôle. Par ailleurs, les éléments au dossier permettent de retenir que D______ a bien agi sous son ascendant : l'appelant, plus âgé que son cousin, l'avait bien instruit dans le cadre du trafic et il porte une responsabilité prépondérante. Le changement de version de D______ en atteste, lequel a pris sur lui l'essentiel des charges, ce qu'il n'eut pas fait si l'appelant ne l'en avait pas instruit d'une manière ou d'une autre, ou à tout le moins n'avait exercé une influence prépondérante alors même qu'il apparaît en réalité comme celui qui donnait les instructions dans le cadre de ce transport. Dès lors, seule une peine privative de liberté de 40 mois, telle qu'infligée par le TCO, paraît juste et adéquate. A titre subsidiaire, si tant est qu'il aurait fallu se pencher sur l'octroi d'une peine encore compatible avec le sursis partiel plaidé, la prise de conscience lacunaire de l'appelant constitue un handicap majeur et la prémisse d'un pronostic défavorable le concernant. Au vu de ce qui précède, la peine privative de liberté arrêtée par les premiers juges sera confirmée.</w:t>
      </w:r>
    </w:p>
    <w:p>
      <w:r>
        <w:rPr>
          <w:b/>
        </w:rPr>
        <w:t>E. 5</w:t>
      </w:r>
    </w:p>
    <w:p>
      <w:r>
        <w:t>5.1.1. A teneur de l'art. 66a al.1 let. o CP, le juge expulse de Suisse, pour une durée de cinq à quinze ans, l'étranger condamné pour infraction à l'art. 19 al. 2 LStup, quelle que soit la quotité de la peine prononcée à son encontre. 5.1.2. D'après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w:t>
      </w:r>
    </w:p>
    <w:p>
      <w:r>
        <w:rPr>
          <w:b/>
        </w:rPr>
        <w:t>E. 5.2</w:t>
      </w:r>
    </w:p>
    <w:p>
      <w:r>
        <w:t>En l'espèce, l'infraction à l'art. 19 al. 2 LStup pour laquelle l'appelant est condamné fonde son expulsion obligatoire. Il n'existe aucun motif permettant d'y renoncer, d'ailleurs non plaidé en appel, de sorte que la mesure sera confirmée pour une durée de cinq ans. Il n'y a pas lieu de l'étendre à l'ensemble de l'espace Schengen, l'expulsion du territoire suisse suffisant à atteindre le but recherché.</w:t>
      </w:r>
    </w:p>
    <w:p>
      <w:r>
        <w:rPr>
          <w:b/>
        </w:rPr>
        <w:t>E. 6</w:t>
      </w:r>
    </w:p>
    <w:p>
      <w:r>
        <w:t>6.1.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rPr>
          <w:b/>
        </w:rPr>
        <w:t>E. 6.2</w:t>
      </w:r>
    </w:p>
    <w:p>
      <w:r>
        <w:t>L'enquête a démontré que l'appelant avait fait usage de son téléphone H______ pour se livrer à un trafic de stupéfiants. Aussi, au vu du lien manifeste existant entre son téléphone, dont il réclame la restitution, et les actes criminels reprochés, il n'y a pas lieu de faire droit à ses conclusions y relatives. Le jugement de première instance sera confirmé dans la mesure où il a ordonné la confiscation et la destruction du téléphone en cause.</w:t>
      </w:r>
    </w:p>
    <w:p>
      <w:r>
        <w:rPr>
          <w:b/>
        </w:rPr>
        <w:t>E. 7</w:t>
      </w:r>
    </w:p>
    <w:p>
      <w:r>
        <w:t>Les motifs ayant conduit les premiers juges à prononcer, par ordonnance séparée du 16 décembre 2020, le maintien de l'appelant en détention pour des motifs de sûreté sont toujours d'actualité, de sorte que la mesure sera reconduite mutatis mutandis (ATF 139 IV 277 consid. 2.2 à 2.3).</w:t>
      </w:r>
    </w:p>
    <w:p>
      <w:r>
        <w:rPr>
          <w:b/>
        </w:rPr>
        <w:t>E. 8</w:t>
      </w:r>
    </w:p>
    <w:p>
      <w:r>
        <w:t>L'appelant, qui succombe, supportera les frais de la procédure envers l'Etat (art. 428 CPP). Il n'y a pas lieu de revenir sur les frais de première instance, lesquels seront confirmés.</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et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9.4</w:t>
      </w:r>
    </w:p>
    <w:p>
      <w:r>
        <w:t>En l'occurrence l'état de frais présenté par M e C______ sera réduit de 20 minutes, la lecture du jugement étant couverte par le forfait. La préparation de l'audience devant la Cour d'appel ainsi que le suivi du dossier en vue de l'audience seront ramenés à six heures (soit 1h30 par le chef d'étude et 4h30 par l'avocat-stagiaire), ce temps étant largement suffisant au vu des enjeux et pour un dossier que l'avocat a suivi depuis le début de la procédure. Il convient de le compléter du temps relatif aux débats d'appel ainsi que de CHF 55.- correspondant à la vacation y relative. En conclusion, la rémunération sera arrêtée à CHF 2'053.50 correspondant à deux heures d'activité au tarif de CHF 200.-/heure et à 11 heures et 40 minutes d'activité (débats compris) au tarif de CHF 110.-/heure, la majoration forfaitaire de 10% (CHF 168.35), une vacation (CHF 55.-) et l'équivalent de la TVA au taux de 7.7% (CHF 146.80).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