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P/8487/2023 vom 5. März 2025</w:t>
      </w:r>
    </w:p>
    <w:p>
      <w:r>
        <w:t>GE Cour de justice, 2025-03-05, FR</w:t>
      </w:r>
    </w:p>
    <w:p>
      <w:r>
        <w:rPr>
          <w:b/>
        </w:rPr>
        <w:t xml:space="preserve">Quelle: </w:t>
      </w:r>
      <w:r>
        <w:t>https://mcp.opencaselaw.ch/entscheid/ge_gerichte_P_8487_2023</w:t>
      </w:r>
    </w:p>
    <w:p>
      <w:r>
        <w:t>FR: GE_GERICHTE P/8487/2023 du 5 mars 2025</w:t>
      </w:r>
    </w:p>
    <w:p>
      <w:r>
        <w:t>IT: GE_GERICHTE P/8487/2023 del 5 marzo 2025</w:t>
      </w:r>
    </w:p>
    <w:p>
      <w:pPr>
        <w:pStyle w:val="Heading2"/>
      </w:pPr>
      <w:r>
        <w:t>Regeste</w:t>
      </w:r>
    </w:p>
    <w:p>
      <w:r>
        <w:t>ENTRÉE ILLÉGALE | LStup.19.al1.letd; CP.286; LEI.115.al1.leta; LEI.115.al3; CP.49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peine menace de l'art. 19 al. 1 LStup est une peine privative de liberté de trois ans ou une peine pécuniaire et celle de l'art. 286 CP est une peine pécuniaire de 30 jours-amende au plus. L'infraction à l'art. 115 al. 1 let. a et al. 3 LEI est passible d'une amende, dont le montant maximal est de CHF 10'000.- (art. 106 al. 1 CP).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L'art. 47 CP confère un large pouvoir d'appréciation au juge (ATF 144 IV 313 consid. 1.2). Le juge n'est pas lié, dans la fixation de la peine, par les réquisitions du ministère public (arrêts du Tribunal fédéral 6B_98/2017 du 1 er septembre 2017 consid. 3.3.3 ; 6B_616/2015 du 5 avril 2016 consid. 3.3 ; 6B_553/2014 du 24 avril 2015 consid. 3.3 et les références citées). Le but de la peine est de viser d'abord la prévention spéciale - réinsertion et évitement de la récidive - puis la prévention générale - exemplarité et dissuasion du public (Nicolas QUELOZ/Linda MANTELLI-RODRIGUEZ, Commentaire romand CP I, 2 ème édition, n. 9 ad art. 47 CP). 2.1.3.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al. 1 CP).</w:t>
      </w:r>
    </w:p>
    <w:p>
      <w:r>
        <w:rPr>
          <w:b/>
        </w:rPr>
        <w:t>E. 2.2</w:t>
      </w:r>
    </w:p>
    <w:p>
      <w:r>
        <w:t>En l'espèce, le genre de peine est acquis à l'appelant. En lien avec sa quotité, la Cour relève, comme l'a fait le TP, que la faute de l'appelant n'est pas négligeable. Il est à nouveau jugé pour une infraction à la LStup alors qu'il a déjà des condamnations en la matière, la dernière datant de mai 2022. Il a par ailleurs été arrêté avec un large éventail de drogues, ce qui démontre une certaine polyvalence dans leur acquisition, à tout le moins. La commission répétée d'actes en la matière dénote en outre un ancrage sérieux dans cette délinquance et rend en l'espèce nécessaire une peine d'une certaine sévérité, les précédentes peines n'ayant manifestement pas eu l'effet dissuasif escompté. Il a fourni des explications fluctuantes et somme toute peu crédibles en affirmant que la drogue trouvée en sa possession était destinée à sa consommation personnelle, au vu de la diversité des substances et des quantités retrouvées sur lui. En outre, les montants en jeu paraissent être totalement disproportionnés par rapport à ses revenus allégués (et au demeurant non prouvés). Il a par ailleurs pris la fuite à la vue de la police, ce qui ne dénote pas d'une collaboration ou d'une prise de conscience remarquable. Ses mobiles relèvent, faute d'autre explication, de l'appât du gain facile. Sa situation personnelle, peu étayée, est probablement précaire, mais elle ne justifie en rien les actes commis. À teneur de son casier judiciaire, l'appelant n'a certes plus occupé la justice pénale depuis les faits présentement jugés. Il s'agit cependant là du comportement attendu de tout un chacun. Il y a concours d'infractions. Dès lors, la peine pécuniaire relative au seul délit en matière de stupéfiants devrait être fixée à 180 unités pénales. L'augmentation de 10 unités pénales (peine théorique de 30 unités) pour l'infraction à l'art 286 CP amène la peine à 190 unités pénales, peine qui sera limitée à 180 unités pénales (maximum du genre légal de peine et vu l'interdiction de la reformatio in pejus). Le montant du jour-amende, arrêté à CHF 10.- par le premier juge, apparaît conforme à la situation personnelle de l'appelant, qui ne l'a, au demeurant, pas critiqué. Le caractère ferme de cette peine, non discuté dans les écritures d'appel, se justifie pleinement au vu des antécédents de l'appelant (art. 42 CP). L'amende prononcée pour l'infraction à la LEI commise par négligence n'est pas non plus discutée dans le mémoire d'appel. Elle sera en tout état confirmée comme étant en adéquation avec la faute de son auteur.</w:t>
      </w:r>
    </w:p>
    <w:p>
      <w:r>
        <w:rPr>
          <w:b/>
        </w:rPr>
        <w:t>E. 3</w:t>
      </w:r>
    </w:p>
    <w:p>
      <w:r>
        <w:t>L'appelant, qui succombe, supportera les frais de la procédure envers l'État (art. 428 CPP).</w:t>
      </w:r>
    </w:p>
    <w:p>
      <w:r>
        <w:rPr>
          <w:b/>
        </w:rPr>
        <w:t>E. 4</w:t>
      </w:r>
    </w:p>
    <w:p>
      <w:r>
        <w:t>Considéré globalement, l'état de frais produit par M e B______, défenseur d'office de A______, satisfait les exigences légales et jurisprudentielles régissant l'assistance judiciaire gratuite en matière pénale . Sa rémunération sera partant arrêtée à CHF 924.25 correspondant à quatre heures et 45 minutes d'activité au tarif de CHF 150.-/heure plus la majoration forfaitaire de 20% et l'équivalent de la TVA au taux de 8.1% en CHF 69.25.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