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P/8478/2025 vom 10. Oktober 2025</w:t>
      </w:r>
    </w:p>
    <w:p>
      <w:r>
        <w:t>GE Cour de justice, 2025-10-10, FR</w:t>
      </w:r>
    </w:p>
    <w:p>
      <w:r>
        <w:rPr>
          <w:b/>
        </w:rPr>
        <w:t xml:space="preserve">Quelle: </w:t>
      </w:r>
      <w:r>
        <w:t>https://mcp.opencaselaw.ch/entscheid/ge_gerichte_P_8478_2025</w:t>
      </w:r>
    </w:p>
    <w:p>
      <w:r>
        <w:t>FR: GE_GERICHTE P/8478/2025 du 10 octobre 2025</w:t>
      </w:r>
    </w:p>
    <w:p>
      <w:r>
        <w:t>IT: GE_GERICHTE P/8478/2025 del 10 ottobre 2025</w:t>
      </w:r>
    </w:p>
    <w:p>
      <w:pPr>
        <w:pStyle w:val="Heading2"/>
      </w:pPr>
      <w:r>
        <w:t>Regeste</w:t>
      </w:r>
    </w:p>
    <w:p>
      <w:r>
        <w:t>CPP.399.al3; CPP.403.al1</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rPr>
          <w:b/>
        </w:rPr>
        <w:t>E. 1.2</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1.4</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 arrêts du Tribunal fédéral 6B_678/2017 du 6 décembre 2017 consid. 5.3 ; 6B_704/2015 du 16 février 2016 consid. 4.2 ; 6B_549/2013 du 24 février 2014 consid. 4.2.1). L’autorité judiciaire a un devoir de vigilance, qui découle directement de l'art. 3 CPP et stipule entre autres que le juge est tenu, en tout cas en présence d'une partie au procès qui ne connaît pas le droit et qui n'est pas représentée par un avocat, de l'informer d'office d'une erreur de procédure si la partie en commet une et si l'erreur est découverte à temps et peut encore être réparée dans le délai imparti (ATF 124 II 265 ; arrêts du Tribunal fédéral 6B_37/2021 du 1er mars 2021, 6B_1217/2013 du 18 février 2014).</w:t>
      </w:r>
    </w:p>
    <w:p>
      <w:r>
        <w:rPr>
          <w:b/>
        </w:rPr>
        <w:t>E. 1.5</w:t>
      </w:r>
    </w:p>
    <w:p>
      <w:r>
        <w:t>En l'espèce, les voies de droit figurant au pied du jugement motivé rappellent expressément la teneur de l'art. 399 CPP. De surcroît, la CPAR a attiré l’attention de l’appelant sur son obligation de former une déclaration d’appel dans le délai légal, son annonce d’appel n’étant pas suffisante. Ce nonobstant, l’appelant n’a pas agi dans le délai de 20 jours dès la notification du jugement de première instance, se contentant d’attendre l'interpellation de la Cour de céans sur l'apparente irrecevabilité de son appel pour transmettre sa déclaration d’appel, sans pour autant se déterminer sur son retard. Dans de telles circonstances, il ne peut qu'être constaté que la déclaration d'appel du 8 octobre 2025 (date de dépôt à la poste) est tardive, et qu'en conséquence l'appel doit être déclaré irrecevable.</w:t>
      </w:r>
    </w:p>
    <w:p>
      <w:r>
        <w:rPr>
          <w:b/>
        </w:rPr>
        <w:t>E. 1.6</w:t>
      </w:r>
    </w:p>
    <w:p>
      <w:r>
        <w:t>Il n'y a au surplus pas matière à restitution de délai au sens de l'art. 94 CPP. L'appelant, dûment interpellé sur l'apparente irrecevabilité de son appel, n'a pas exposé en quoi il aurait été empêché, sans faute de sa part, d'observer le délai prescrit pour le dépôt d'une déclaration d'appel recevable à la forme.</w:t>
      </w:r>
    </w:p>
    <w:p>
      <w:r>
        <w:rPr>
          <w:b/>
        </w:rPr>
        <w:t>E. 2</w:t>
      </w:r>
    </w:p>
    <w:p>
      <w:r>
        <w:t>La partie dont l'appel est irrecevable est considérée comme ayant succombé ; elle supportera les frais de la procédure envers l'État, y compris un émolument de jugement, limité à CHF 300.-, vu le stade peu avancé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