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P/8420/2022 vom 3. Oktober 2022</w:t>
      </w:r>
    </w:p>
    <w:p>
      <w:r>
        <w:t>GE Cour de justice, 2022-10-03, FR</w:t>
      </w:r>
    </w:p>
    <w:p>
      <w:r>
        <w:rPr>
          <w:b/>
        </w:rPr>
        <w:t xml:space="preserve">Quelle: </w:t>
      </w:r>
      <w:r>
        <w:t>https://mcp.opencaselaw.ch/entscheid/ge_gerichte_P_8420_2022</w:t>
      </w:r>
    </w:p>
    <w:p>
      <w:r>
        <w:t>FR: GE_GERICHTE P/8420/2022 du 3 octobre 2022</w:t>
      </w:r>
    </w:p>
    <w:p>
      <w:r>
        <w:t>IT: GE_GERICHTE P/8420/2022 del 3 ottobre 2022</w:t>
      </w:r>
    </w:p>
    <w:p>
      <w:pPr>
        <w:pStyle w:val="Heading2"/>
      </w:pPr>
      <w:r>
        <w:t>Regeste</w:t>
      </w:r>
    </w:p>
    <w:p>
      <w:r>
        <w:t>CONSULTATION DU DOSSIER;PRINCIPE DE LA CÉLÉRITÉ | CPP.101</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102 al. 1 et 393 al. 1 let. a CPP) et émaner du prévenu qui, en tant que partie à la procédure (art. 104 al. 1 let. a CPP), a qualité pour agir, ayant un intérêt juridiquement protégé à la modification ou à l'annulation de la décision querellée (art. 382 al. 1 CPP).</w:t>
      </w:r>
    </w:p>
    <w:p>
      <w:r>
        <w:rPr>
          <w:b/>
        </w:rPr>
        <w:t>E. 2</w:t>
      </w:r>
    </w:p>
    <w:p>
      <w:r>
        <w:t>Le recourant estime avoir droit de prendre connaissance de l'intégralité du dossier.</w:t>
      </w:r>
    </w:p>
    <w:p>
      <w:r>
        <w:rPr>
          <w:b/>
        </w:rPr>
        <w:t>E. 2.1</w:t>
      </w:r>
    </w:p>
    <w:p>
      <w:r>
        <w:t>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 mais, théoriquement, une consultation pourrait avoir lieu avant qu’elles ne soient remplies (Y. JEANNERET / A. KUHN / C. PERRIER DEPEURSINGE (éds), Commentaire romand : Code de procédure pénale suisse , 2e éd., Bâle 2019, n. 4 ad art. 101). 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172 consid. 2.3; M. NIGGLI / M. HEER / H. WIPRÄCHTIGER, Schweizerische Strafprozessordnung / Schweizerische Jugendstrafprozessordnung, Basler Kommentar StPO/JStPO , 2ème éd., Bâle 2014, n. 14 ad art. 101 CPP). La première audition peut s'étendre à plusieurs audiences si, en raison de la richesse factuelle de la cause, celles-ci sont nécessaires afin que le prévenu puisse se prononcer sur l'ensemble des charges retenues. En d'autres termes, les audiences subséquentes ne peuvent être assimilées à une première audition que si elles servent à entendre le prévenu pour la première fois sur des faits relevant de sa mise en prévention (M. NIGGLI / M. HEER / H. WIPRÄCHTIGER, Schweizerische Strafprozessordnung / Schweizerische Jugendstrafprozessordnung, Basler Kommentar StPO/JStPO , Bâle 2014, n. 14 ad art. 101). La seconde condition cumulative est l’administration des preuves principales par le ministère public. Cette notion indéterminée doit être interprétée au cas par cas et de manière restrictive, afin que les parties puissent disposer le plus rapidement possible de l’accès au dossier. Les preuves principales sont celles dont la mise en œuvre se révèle indispensable à la réalisation de l’objectif de l’instruction, à savoir la recherche de la vérité matérielle. Il s’agit, en règle générale, de l’audition du/des prévenu/s, y compris en confrontation, de l’audition de la victime, en cas de viol, de l’audition des principaux témoins, des perquisitions et séquestres, de l’édition de documents bancaires, de la présentation de planches photographies, de l’établissement d’expertises médico-légales ou de rapports de police scientifique. L'établissement des preuves les plus importantes peut également comprendre la première présentation des résultats déterminants des preuves ou des preuves recueillies (A. DONATSCH / V. LIEBER / S. SUMMERS / W. WOHLERS (éds), Kommentar zur Schweizerischen Strafprozessordnung (StPO) , 3e éd., Zürich 2020, n. 5 ad art. 101; Y. JEANNERET / A. KUHN / C. PERRIER DEPEURSINGE (éds), Commentaire romand : Code de procédure pénale suisse , 2ème éd., Bâle 2019, n. 4b ad art. 101). Cela étant, si les preuves principales peuvent être administrées sans limitation dans le temps dans un certain nombre de cas, par exemple, lors de la découverte, en cours de procédure, de témoins, dont l'audition, voire la confrontation avec le ou les prévenus ainsi qu'avec d'autres témoins, s'avère nécessaire à la recherche de la vérité matérielle – qui est le but de toute procédure pénale (art. 6 CPP ; FF 2006 1105) –, il convient de ne pas perdre de vue que les parties à la procédure, en particulier le prévenu, ont le droit, à teneur de l'art. 101 al. 1 CPP, de consulter le dossier dès que ledit prévenu a été entendu par le ministère public et dès l'achèvement de l'administration des preuves principales et, qu'en matière de détention, le principe de célérité, prévu à l'art. 5 al. 2 CPP, s'applique tout particulièrement. L'administration des preuves principales par le ministère public doit ainsi être effectuée aussi rapidement que le permet le bon déroulement de l'instruction ( ACRP/295/2011 du 18 octobre 2011). La Chambre de céans a aussi admis que les preuves principales n'avaient pas encore été administrées avant la réalisation d'une confrontation entre le prévenu et la partie plaignante, dans la mesure où tous deux, entendus séparément par la police, avaient donné des explications contradictoires sur des points essentiels, de sorte qu'autoriser au prévenu l'accès à la procédure pourrait compromettre la manifestation de la vérité, dès lors qu'il serait en mesure d'adapter ses déclarations en fonction de celles de la partie plaignante ( ACPR/249/2012 du 19 juin 2012 consid. 5.2.). En revanche, la simple éventualité que « les intérêts de la procédure soient (abstraitement) mis en péril » par un comportement régulier relevant de la tactique procédurale ne suffit pas (ATF 139 IV 25 consid. 5.5.4.1). En outre, le principe de l'égalité des armes requiert que chaque partie se voie offrir une possibilité raisonnable de présenter sa cause dans des conditions qui ne la placent pas dans une situation de net désavantage par rapport à son adversaire (art. 6 § 1 CEDH et 29 al. 1 Cst.). Il suppose notamment que les parties aient un accès identique aux pièces versées au dossier (ATF 122 V 157 consid. 2b; arrêt du Tribunal fédéral 6P.125/2005 du 23 janvier 2006 consid. 4.2). En matière de consultation du dossier, le législateur a concrétisé ce principe aux art. 101 al. 1, 104 al. 1 et 107 al. 1 let. a. CPP qui excluent, sauf exception (art. 108 CPP) un traitement différent des parties (arrêt du Tribunal fédéral 1B_261/2011 du 6 juin 2011).</w:t>
      </w:r>
    </w:p>
    <w:p>
      <w:r>
        <w:rPr>
          <w:b/>
        </w:rPr>
        <w:t>E. 2.2</w:t>
      </w:r>
    </w:p>
    <w:p>
      <w:r>
        <w:t>En l'espèce, le recourant a été entendu à plusieurs reprises sur les faits qui lui sont reprochés. On doit dès lors considérer que la première condition posée par la loi est remplie. Certes, la confrontation de la victime au prévenu, qu'elle désigne comme étant l'auteur du viol, est importante pour la recherche de la vérité matérielle. Le Procureur s'oppose ainsi à l'accès au dossier parce qu'il ne veut pas que la plaignante relise ses déclarations avant la confrontation. Or, cette dernière ne s'est présentée qu'à une audience lors de laquelle elle a refusé de déposer hors la présence d'un conseil – celui nommé d'office ayant annoncé un conflit d'intérêts –. Elle n'a jamais justifié de ses absences – ni même informé son conseil – au point que l'on peut douter qu'elle se présente jamais, voire veuille maintenir sa constitution de partie plaignante. Le recourant a été détenu du 14 avril 2022 au 19 juillet 2022 avant d'être remis en liberté à la suite d'une énième absence de la plaignante. Il ne bénéficie cependant pas de sa totale liberté puisqu'il a l'obligation de respecter les mesures de substitution. En outre, le Procureur a poursuivi l'instruction par l'audition des gendarmes. Face aux intérêts du recourant, au respect du principe de célérité et des droits de la défense, il paraît disproportionné de lui refuser l'accès au dossier, ce d'autant plus que la plaignante a été auditionnée par la police et a exposé les faits et leur déroulement, et que son conseil a participé aux auditions des témoins, de sorte que d'éventuelles déclarations divergentes devraient être reçues avec circonspection. Dans ces circonstances particulières, le recours doit être admis.</w:t>
      </w:r>
    </w:p>
    <w:p>
      <w:r>
        <w:rPr>
          <w:b/>
        </w:rPr>
        <w:t>E. 3</w:t>
      </w:r>
    </w:p>
    <w:p>
      <w:r>
        <w:t>Le recourant qui a gain de cause ne supportera pas de frais (art. 428 al. 4 CPP).</w:t>
      </w:r>
    </w:p>
    <w:p>
      <w:r>
        <w:rPr>
          <w:b/>
        </w:rPr>
        <w:t>E. 4</w:t>
      </w:r>
    </w:p>
    <w:p>
      <w:r>
        <w:t>Il n'y a pas lieu d'indemniser à ce stade le défenseur d'office (cf. art. 135 al. 2 CPP), la procédure n'étant pas terminée.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