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P/8419/2023 vom 17. Januar 2024</w:t>
      </w:r>
    </w:p>
    <w:p>
      <w:r>
        <w:t>GE Cour de justice, 2024-01-17, FR</w:t>
      </w:r>
    </w:p>
    <w:p>
      <w:r>
        <w:rPr>
          <w:b/>
        </w:rPr>
        <w:t xml:space="preserve">Quelle: </w:t>
      </w:r>
      <w:r>
        <w:t>https://mcp.opencaselaw.ch/entscheid/ge_gerichte_P_8419_2023</w:t>
      </w:r>
    </w:p>
    <w:p>
      <w:r>
        <w:t>FR: GE_GERICHTE P/8419/2023 du 17 janvier 2024</w:t>
      </w:r>
    </w:p>
    <w:p>
      <w:r>
        <w:t>IT: GE_GERICHTE P/8419/2023 del 17 gennaio 2024</w:t>
      </w:r>
    </w:p>
    <w:p>
      <w:pPr>
        <w:pStyle w:val="Heading2"/>
      </w:pPr>
      <w:r>
        <w:t>Regeste</w:t>
      </w:r>
    </w:p>
    <w:p>
      <w:r>
        <w:t>AGGRAVATION DE LA PEINE;AFFILIATION À UNE BANDE | CP.139.ch3; CP.139</w:t>
      </w:r>
    </w:p>
    <w:p>
      <w:pPr>
        <w:pStyle w:val="Heading2"/>
      </w:pPr>
      <w:r>
        <w:t>Erwägungen</w:t>
      </w:r>
    </w:p>
    <w:p>
      <w:r>
        <w:rPr>
          <w:b/>
        </w:rPr>
        <w:t>E. 1</w:t>
      </w:r>
    </w:p>
    <w:p>
      <w:r>
        <w:t>L'appel est recevable pour avoir été interjeté et motivé selon la forme et dans les délais prescrits (art. 398 et 399 du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139 ch. 1 CP sanctionne quiconque, pour se procurer ou procurer à un tiers un enrichissement illégitime, soustrait une chose mobilière appartenant à autrui dans le but de se l'approprier. Le chiffre 3 let. b de l'art. 139 CP (teneur matériellement inchangée par rapport à l’art. 139 ch. 3 aCP en vigueur au moment des faits) consacre une circonstance aggravante si l'auteur est affilié à une bande. 2.2.2.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Le critère prépondérant de la circonstance aggravante de la bande est qualitatif (le degré d'organisation de l'association et la collaboration entre des personnes bien définies) et non en rapport avec le nombre de personnes impliquées ou la pluralité des infractions. Il faut ainsi, pour parler de bande, que soit constatée une certaine structure qui se manifeste par l'intensité de la collaboration dans la préparation des infractions et leur réalisation, le partage des rôles et du travail, le sort des objets volés, etc., de sorte que l'on puisse parler d'une équipe relativement soudée et stable, même si cette association de personnes liées entre elles et interdépendantes n'a pas nécessairement vocation de s'inscrire dans la durée (arrêt du Tribunal fédéral 6B_861/2009 du 18 février 2010 consid. 3.1). La perpétration en bande constitue une forme de commission en commun plus intense que la coactivité, car elle se caractérise par un but commun et supérieur ainsi qu’une volonté de former un groupe consolidé (ATF 147 IV 176 consid. 2.4.2 ; arrêt du Tribunal fédéral 6B_702/2021 du 27 janvier 2023 consid. 1.3.3). Du point de vue subjectif, il suffit que l'auteur connaisse et veuille les circonstances de fait qui correspondent à la définition de la bande ou, en d'autres termes, que sa volonté ait porté sur la commission en commun d'une pluralité d'infractions (ATF 124 IV 286 , consid. 2a ; 124 IV 86 , consid. 2b). Cette qualification suppose un minimum d'organisation (par exemple, une répartition des tâches ou des rôles) et que la coopération des intéressés soit suffisamment intense pour que l'on puisse parler d'un groupe stable même s'il n'est qu'éphémère (ATF 132 IV 132 consid. 5.2 ; arrêt du Tribunal fédéral 6B_1047/2008 du 23 mars 2009 consid. 4.1).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2.2.3.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 cela résulte naturellement du fait qu'une infraction, comme toute entreprise humaine, n'est pas nécessairement réalisée par une personne isolée, mais peut procéder d'une action commune avec une répartition des tâches (ATF 120 IV 17 consid. 2d).</w:t>
      </w:r>
    </w:p>
    <w:p>
      <w:r>
        <w:rPr>
          <w:b/>
        </w:rPr>
        <w:t>E. 2.3</w:t>
      </w:r>
    </w:p>
    <w:p>
      <w:r>
        <w:t>En l'espèce, les prévenus ont admis, durant la procédure, être venus ensemble à Genève dans le but de commettre des vols et s'être accordés sur un mode opératoire, à savoir le fait de déposer une feuille au-dessus de l'objet à dérober. À deux occasions à tout le moins – soit le vol [du téléphone portable] I______/1______ et de la bourse de sommelière – les prévenus ont agi en commun, selon une organisation prédéfinie entre eux, l'un distrayant la victime alors que l'autre subtilisait le bien. C______ a en outre admis avoir eu l'idée en amont de commettre les vols et comment ils devraient être opérés. Les vols commis au restaurant K______ démontrent que les prévenus se trouvaient tous deux dans ce même lieu au même moment, l'un ayant admis le vol, le second ayant été reconnu par une partie plaignante. Cet élément permet d'affirmer que leurs rôles étaient interchangeables, bien que la technique de commission reste la même. Contrairement à ce que soutiennent les prévenus, ils ont agi selon un modus operandi bien rôdé et, dans chaque situation, étaient tous deux prêts à commettre les vols, selon l'occasion et l'opportunité qui seraient la leur. Ils s'étaient ainsi accordés sur le fait de venir ensemble à Genève, dans le but d'y commettre des vols, infractions qu'ils ont par la suite toujours réalisées en commun, et selon un mode opératoire prédéfini entre eux. Le fait que les vols aient tous été commis sur la même journée n'a aucune influence, l'inscription dans une certaine durée n'étant pas nécessaire pour que l'aggravante de la bande puisse être retenue. Les explications des prévenus quant au partage du butin n'emportent pas conviction. Ils ont dans un premier temps admis que les téléphones étaient destinés à être vendus et l'argent de la bourse utilisé pour se sustenter et retourner en Roumanie, avant que C______ ne change de version et explique que le but était de payer une opération coûteuse à son fils, déclaration à laquelle A______ a par la suite adhéré. Or, cette allégation n'est prouvée par aucune attestation médicale ou preuve matérielle et, si elle devait être avérée, permet au contraire de retenir que les prévenus s'étaient bien accordés sur la destination du produit des vols. En effet, A______ a déclaré qu'une partie du butin devait servir à couvrir les frais de l'opération, preuve qu'une discussion est intervenue entre eux quant à la destination qu'ils en feraient. Après les faits, les prévenus ont par ailleurs été appréhendés ensemble, alors qu'ils tentaient de regagner la frontière française. S'ils n'ont pas eu le temps de vendre les [téléphones portables de marque] I______, aucun doute ne subsiste sur le fait qu'ils avaient l'intention de se répartir de façon équitable les revenus qu'ils en retireraient et de partager l'argent se trouvant dans la bourse. En tout état de cause, même si la santé du fils de l’appelant devait réellement être compromise au point de nécessiter une telle intervention, la version des prévenus à ce sujet comprend toujours un accord sur le mode de partage du butin. Partant, l'aggravante du vol commis en bande (art. 139 al. 3 let. b CP) doit être retenue pour les deux prévenus et l'appel du MP sera admis sur ce point.</w:t>
      </w:r>
    </w:p>
    <w:p>
      <w:r>
        <w:rPr>
          <w:b/>
        </w:rPr>
        <w:t>E. 3</w:t>
      </w:r>
    </w:p>
    <w:p>
      <w:r>
        <w:t>3.1.1. L'auteur de vol commis en qualité d'affilié à une bande est puni d'une peine privative de liberté de dix ans au plus et de six mois au moins (art. 139 ch. 3 let. b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3.2.3. 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 arrêt du Tribunal fédéral 6B_675/2019 du 17 juillet 2010 consid. 4.1). Le droit de se taire et de ne pas s'auto-incriminer, qui fait partie des normes internationales généralement reconnues, selon l'art. 6 par. 1 CEDH (ATF 121 II 257 consid. 4a),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Le prononcé d'une peine unique dans le sens d'un examen global de tous les délits à juger n'est pas possible (ATF 144 IV 217 consid. 3.5). Le juge a l'obligation d'aggraver la peine en cas de concours d'infraction (ATF 103 IV 225 ; arrêt du Tribunal fédéral 6B_1216/2017 du 11 juin 2018 consid. 1.1.1). 3.2.5. La durée de la peine privative de liberté est en règle générale de trois jours au moins et de 20 ans au plus (art. 40 CP). 3.2.6. Dans l'exercice de son pouvoir d'appréciation, le juge doit respecter, en particulier, le principe d'égalité de traitement (art. 8 al. 1 Cst. féd. ;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Les différences de traitement entre plusieurs accusés comparaissant devant le même tribunal à raison des mêmes faits doivent être fondées sur des motifs pertinents. 3.3.1. En l'espèce, la faute des prévenus est lourde. Ils se sont livrés de façon intensive à des vols sur une même journée, l'ensemble de ceux-ci ayant été commis en bande. Ils s'en sont pris au patrimoine d'autrui et à de multiples reprises. Ils ont agi pour des motifs égoïstes, par appât du gain facile, sans aucun respect pour le bien d'autrui et commettant les mêmes infractions à plusieurs reprises sur un laps de temps très court. Une circonstance aggravante caractérise leurs actes et donc leur faute. Leur situation personnelle, même précaire, ne justifie pas leurs agissements. Au contraire, ils auraient tous deux pu exercer une activité professionnelle en France, comme ils l'avaient fait jusque-là. L'emploi de C______ lui permettait par ailleurs de participer aux besoins de sa famille en Roumanie à laquelle il envoyait environ EUR 300.- toutes les deux semaines. Enfin, seule l'intervention de la police a permis de mettre fin à leurs agissements. Leur responsabilité est pleine et entière. 3.3.2. La collaboration à la procédure de A______ a été excellente. Il a immédiatement collaboré et reconnu les faits dès son audition à la police. Quant à C______, sa collaboration ne peut être considérée comme bonne. Il a dans un premier temps refusé de signer le procès-verbal de police lors de son arrestation, ce qui démontre une volonté de non-coopération. Il finira par avouer, après avoir pris connaissance des images de vidéosurveillance et ne pouvant plus nier les faits. Il a également tout au long de la procédure tenté de minimiser son rôle dans la commission des infractions, ayant indiqué dans un premier temps ne pas avoir d'expérience dans ce domaine, avant d'admettre que c'était lui qui avait eu l'idée de commettre les vols et de comment ils agiraient à ces fins. La collaboration du prévenu a ainsi été globalement mitigée. Sa prise de conscience est mauvaise et n'apparaît pas crédible, et ce même s'il a exprimé la volonté de ne pas récidiver. Ses regrets semblent surtout motivés par la crainte de devoir purger une peine privative de liberté et ce même s'il les a exprimés dès qu'il a admis les premiers faits, étant relevé que ses premiers remords ont été couplés à nouveau à une minimisation de ses actes : il a insisté sur le fait qu'il ne dérobait que pour payer une opération coûteuse à son fils. 3.3.3. A______ n'a pas d'antécédents, ce qui est un facteur neutre. C______, quant à lui, a douze antécédents qui sont particulièrement mauvais, qui plus est spécifiques. Trois de ces derniers sont inscrits dans son casier judiciaire suisse. Ceux inscrits dans le casier judiciaire français peuvent être pris en considération pour la fixation de la peine indépendamment du laps de temps écoulé (ATF 105 IV 225 consid. 2). Il convient de prendre en compte la facilité avec laquelle le prévenu a récidivé, après avoir été condamné à plusieurs reprises à l'étranger et en Suisse. Même en ne tenant compte que des dernières infractions commises (2018-2021), celles-ci sont au nombre de quatre et trois d'entre elles concernent des peines privatives de liberté, allant jusqu'à 180 jours. Sa dernière condamnation date de 2021 pour voies de fait, vol d'importance mineure, vol simple et tentative de vol simple, soit des faits similaires à ceux qui nous occupent. Ces antécédents mis en rapport avec l'absence de prise de conscience de l'appelant dénotent un ancrage dans la délinquance. Les intimés ont commis en tout quatre vols en bande. Ces infractions sont passibles d’une peine privative de liberté minimale de six mois. Au vu des circonstances de l’espèce, la peine de base pour A______ sera fixée à six mois en relation avec le premier vol commis en bande. Cette peine doit être aggravée de trois fois dix jours pour tenir compte des vols postérieurs (peine théorique de six mois chacun), ce qui porte la peine à sept mois. Cette peine sera assortie du sursis, dont les conditions sont remplies. Le délai d'épreuve de trois ans retenu par le premier juge, non critiqué, est adéquat. La faute de C______ est plus importante, au vu notamment de ses antécédents et de l'absence de prise de conscience, une peine minimale de base de sept mois est appropriée et doit être aggravée de trois fois un mois pour tenir compte de tous les vols (peine théorique minimale de six mois chacun), ce qui porte la peine à dix mois au total. Au vu des antécédents de l’intimé, une peine ferme est nécessaire pour le détourner d’autres infractions (art. 42 al. 1 CP).</w:t>
      </w:r>
    </w:p>
    <w:p>
      <w:r>
        <w:rPr>
          <w:b/>
        </w:rPr>
        <w:t>E. 4</w:t>
      </w:r>
    </w:p>
    <w:p>
      <w:r>
        <w:t>4.1. Conformément à l'art. 66a al. 1 let. c CP, le juge expulse de Suisse, pour une durée de cinq à quinze ans, un étranger qui est condamné pour vol qualifié, vol en lien avec une violation de domicile ou brigandage.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du Tribunal fédéral 6B_93/2021 du 6 octobre 2021 consid. 5.1).</w:t>
      </w:r>
    </w:p>
    <w:p>
      <w:r>
        <w:rPr>
          <w:b/>
        </w:rPr>
        <w:t>E. 4.2</w:t>
      </w:r>
    </w:p>
    <w:p>
      <w:r>
        <w:t>En l’espèce, compte tenu de la condamnation des intimés pour vol en bande, ces derniers tombent sous le coup d'une expulsion obligatoire. La clause de rigueur ne trouve clairement pas d'application, faute d'intérêt des prévenus à demeurer en Suisse, pays dans lequel il ne sont venus que pour commettre des infractions et où ils n'ont aucune attache, ce qui aurait d’ailleurs conduit au prononcé d’une expulsion non-obligatoire (art. 66a bis CP) si les conditions de l’art. 66a CP n’avaient pas été réalisées. Afin de tenir compte de l'absence d'antécédents de A______, une expulsion de cinq ans sera prononcée à son encontre. Le risque de récidive de C______ est particulièrement élevé au vu de ses antécédents, de sorte qu'une expulsion de plus longue durée doit être prononcée à son encontre afin de protéger l'ordre public. Une expulsion pour une durée de huit ans est proportionnée. L'appel du MP sera dès lors également admis sur ce point. Les intimés étant ressortissants d’un futur Etat Schengen, il n’y a pas lieu à inscription de l’expulsion au SIS.</w:t>
      </w:r>
    </w:p>
    <w:p>
      <w:r>
        <w:rPr>
          <w:b/>
        </w:rPr>
        <w:t>E. 5</w:t>
      </w:r>
    </w:p>
    <w:p>
      <w:r>
        <w:t>Les intimés succombent intégralement et supporteront les frais de la procédure d'appel par moitié chacun, y compris un émolument de jugement de CHF 1'500.- (art. 428 CPP). Vu l'issue de l'appel, aucun motif ne justifie de revoir les frais de première instance.</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chef d'étude CHF 200.- (let. c).</w:t>
      </w:r>
    </w:p>
    <w:p>
      <w:r>
        <w:rPr>
          <w:b/>
        </w:rPr>
        <w:t>E. 6.2</w:t>
      </w:r>
    </w:p>
    <w:p>
      <w:r>
        <w:t>Les états de frais déposés par les défenseurs d'office satisfont globalement les exigences en matière d'indemnisation. La rémunération sera donc arrêtée à CHF 840.05 pour M e B______ correspondant à 3 heures et 15 minutes d'activité au tarif de CHF 200.-/heure ainsi que la majoration forfaitaire de 20% et TVA et CHF 581.60 pour M e D______, correspondant à 3 heures d'activité au tarif de CHF 150.-/heure ainsi que la majoration forfaitaire de 20% et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