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P/8380/2019 vom 9. März 2020</w:t>
      </w:r>
    </w:p>
    <w:p>
      <w:r>
        <w:t>GE Cour de justice, 2020-03-09, FR</w:t>
      </w:r>
    </w:p>
    <w:p>
      <w:r>
        <w:rPr>
          <w:b/>
        </w:rPr>
        <w:t xml:space="preserve">Quelle: </w:t>
      </w:r>
      <w:r>
        <w:t>https://mcp.opencaselaw.ch/entscheid/ge_gerichte_P_8380_2019</w:t>
      </w:r>
    </w:p>
    <w:p>
      <w:r>
        <w:t>FR: GE_GERICHTE P/8380/2019 du 9 mars 2020</w:t>
      </w:r>
    </w:p>
    <w:p>
      <w:r>
        <w:t>IT: GE_GERICHTE P/8380/2019 del 9 marzo 2020</w:t>
      </w:r>
    </w:p>
    <w:p>
      <w:pPr>
        <w:pStyle w:val="Heading2"/>
      </w:pPr>
      <w:r>
        <w:t>Regeste</w:t>
      </w:r>
    </w:p>
    <w:p>
      <w:r>
        <w:t>LEI.115</w:t>
      </w:r>
    </w:p>
    <w:p>
      <w:pPr>
        <w:pStyle w:val="Heading2"/>
      </w:pPr>
      <w:r>
        <w:t>Erwägungen</w:t>
      </w:r>
    </w:p>
    <w:p>
      <w:r>
        <w:rPr>
          <w:b/>
        </w:rPr>
        <w:t>E. 1</w:t>
      </w:r>
    </w:p>
    <w:p>
      <w:r>
        <w:t>La demande de révision a été formée par devant l'autorité compétente et selon la forme prévue par la loi (art. 411 al. 1 CPP). Selon l'art. 411 al. 2 CPP, les demandes de révision, visées à l'art. 410 al. 1 let. b et al. 2, doivent être déposées dans les 90 jours à compter de la date à laquelle la personne concernée a eu connaissance de la décision en cause. Dans les autres cas, elles ne sont soumises à aucun délai. Bien qu'il ne soit pas mentionné dans la disposition précitée, le ministère Public est habilité à agir en révision (art. 381 al. 1 CPP; Message FF 2006 p. 1303; A. Kuhn / Y. Jeanneret, in Commentaire romand du Code de procédure pénale , Bâle, 2011, note 5 ad art. 410). La demande de révision de l'ordonnance pénale du 31 mai 2019, formée par le MP le 6 janvier 2020, est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preuves sont nouveaux lorsque le juge n'en a pas eu connaissance au moment où il s'est prononcé, c'est-à-dire lorsqu'ils ne lui ont pas été soumis sous quelque forme que ce soit (ATF 137 IV 59 consid. 5.1.2 p. 66 s. ; ATF 130 IV 72 consid. 1 p. 73).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ATF 130 IV 72 consid. 1 p. 73). 2.1.2. A teneur de l'art. 413 al. 2 CPP, si la juridiction d'appel constate que les motifs de révision sont fondés, elle annule partiellement ou entièrement la décision attaquée; de plus, elle renvoie la cause pour nouveau traitement et nouveau jugement à l'autorité qu'elle désigne (let. a) ou elle rend elle-même une nouvelle décision si l'état du dossier le permet (let. b). 2.2.1 . Le juge dispose d'un large pouvoir d'appréciation dans la fixation de la peine (arrêt 6B_835/2018 du 8 novembre 2018 consid. 2.1). Le juge n'est pas lié, dans la fixation de la peine, par les réquisitions du ministère public (arrêts du Tribunal fédéral 6B_98/2017 du 1er septembre 2017 consid. 3.3.3 ; 6B_616/2015 du 5 avril 2016 consid. 3.3 ; 6B_553/2014 du 24 avril 2015 consid. 3.3 et les références citées). 2.2.2.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2.2.3.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2.2.4.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2.3.1.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Il convient d'appliquer l'art. 115 LEtr en considération de la jurisprudence de la Cour de justice de l'Union européenne relative à cette directive, sans quoi la participation de la Suisse à Schengen pourrait être menacée (arrêts du Tribunal fédéral 6B_1172/2014 du 23 novembre 2015 ; 6B_525/2014 du 9 octobre 2014 consid. 1.1 et les références). La Directive sur le retour a pour but de mettre en place une politique efficace d'éloignement et de rapatriement afin que les personnes concernées soient rapatriées de façon humaine et dans le respect intégral de leurs droits fondamentaux ainsi que de leur dignité. Selon le Tribunal fédéral, l'étranger qui séjourne en France depuis quelques années et n'est pas poursuivi du chef de séjour illégal en Suisse, au sens de l'art. 115 al. 1 let. b, mais uniquement pour entrée illégale (let. a), est soustrait à l'application de la Directive européenne (arrêts du Tribunal fédéral 6B_1061/2016 du 19 juillet 2017 consid. 2.2, confirmant l' AARP/307/2016 du 4 août 2016 consid. 2.3 ; 1B_162/2015 du 1er juillet 2015 consid. 2.3 ; AARP/166/2017 du 17 mai 2017 consid. 2.2.3 ; ACPR/173/2015 du 23 mars 2015 consid. 3.4 in medio , qui différencie deux motifs distincts justifiant la non applicabilité de la Directive sur le retour, dont l'absence de séjour irrégulier). 2.3.2. Les principes de l'art. 47 CP valent aussi pour le choix entre plusieurs sanctions possibles, et non seulement pour la détermination de la durée de celle qui est prononcée (arrêt du Tribunal fédéral 6B_611/2014 du 9 mars 2015 consid. 4.2). Les peines privatives de liberté ne doivent être prononcées que lorsque l'État ne peut garantir d'une autre manière la sécurité publique (ATF 144 IV 313 consid. 1.1.1). Lorsque des motifs de prévention spéciale permettent de considérer qu'une peine pécuniaire ou une peine de travail d'intérêt général seraient d'emblée inadaptées, l'autorité peut prononcer une peine privative de liberté de courte durée (arrêt du Tribunal fédéral 6B_341/2017 du 23 janvier 2018 consid. 1.1). 2.3.3. Sur le plan objectif, les peine pécuniaire et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rPr>
          <w:b/>
        </w:rPr>
        <w:t>E. 2.4</w:t>
      </w:r>
    </w:p>
    <w:p>
      <w:r>
        <w:t>En l'espèce, des suites de l'arrêt de la CPAR du 4 novembre 2019 ayant annulé l'ordonnance pénale du 12 mars 2018, il n'est plus possible, comme cela l'a été dans l'ordonnance pénale du 31 mai 2019 dont la révision est demandée, de révoquer un sursis désormais inexistant. Ces faits nouveaux, ignorés au moment de rendre ladite ordonnance, sérieux, sont propres à entraîner sa modification en faveur de A______, de sorte que la demande de révision doit être admise, et l'ordonnance pénale OPMP/5072/2019 du 31 mai 2019 annulée. Dans la mesure où la révision est exercée en faveur du condamné et que la CPAR dispose des éléments utiles pour trancher la cause, elle est à même de rendre une nouvelle décision en application de l'art. 413 al. 2 let. b CPP.</w:t>
      </w:r>
    </w:p>
    <w:p>
      <w:r>
        <w:rPr>
          <w:b/>
        </w:rPr>
        <w:t>E. 2.5</w:t>
      </w:r>
    </w:p>
    <w:p>
      <w:r>
        <w:t>En présence le 29 mai 2019 d'une récidive spécifique en matière d'entrée illégale en Suisse, la motivation développée par la CPAR le 9 novembre 2019 pour des faits antérieurs, remontant aux 2 et 3 décembre 2017, s'applique mutatis mutandis et a fortiori pour ceux de mai 2019, le prévenu n'ayant nullement changé son comportement dans l'intervalle. Seule une peine privative de liberté est à même de produire l'effet de prévention spéciale attendue étant relevé que ses neuf condamnations préalables, depuis juillet 2013, dont pour des infractions de séjour et d'entrée illégaux, ne l'ont pas dissuadé de réitérer, pas plus que six condamnations à des peines privatives de liberté prononcée entre le 6 mars 2017 et le 10 janvier 2019. La CPAR aurait sans aucun doute prononcé ce type de peine le 4 novembre 2019, ne fût-ce l'application de la Directive sur le retour s'agissant en l'espèce de sanctionner uniquement une infraction de séjour illégal. Or ladite Directive sur le retour ne s'applique pas dans le cas présent d'une entrée illégale en Suisse. Au vu de ce qui précède, il se justifie de donner suite à la demande de révision du MP et de prononcer une peine privative de liberté de 90 jours à l'encontre de A______, sous déduction des deux jours de détention avant jugement subis dans la P/8380/2019, étant rappelé que la CPAR n'est pas tenue par les conclusions du MP. Compte tenu du type de peine présentement prononcé, l'éventuelle problématique d'une complémentarité avec celle du 4 novembre 2019 ne se pose pas. Le prévenu ne saurait prétendre au bénéfice du sursis, ce qu'il ne soutient au demeurant pas.</w:t>
      </w:r>
    </w:p>
    <w:p>
      <w:r>
        <w:rPr>
          <w:b/>
        </w:rPr>
        <w:t>E. 3</w:t>
      </w:r>
    </w:p>
    <w:p>
      <w:r>
        <w:t>3.1.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Dès lors qu'une imputation des jours de détention est licite en application de l'art. 51 CP, la question de l'indemnisation ne se pose plus, ce qui exclut à cet égard une violation de l'art. 429 al. 1 let. c CPP (arrêt du Tribunal fédéral 6B_671/2016 du 17 mai 2017 consid. 1.2). 3.2.1. Le prévenu a subi, dans la P/8380/2019 des suites de l'OPMP dont la révision est ordonnée deux jours de détention avant jugement et un jour en exécution de peine, avant d'être libéré le 5 novembre 2019 sur ordre du MP. Ces trois jours seront partant imputés sur la peine privative de liberté de 90 jours présentement prononcée. 3.2.2. Le prévenu a en outre, dans la P/1______/2017, subi 28 jours de détention en trop consécutivement à son acquittement partiel par la CPAR par arrêt du 4 novembre 2019 (58 jours de détention subis avant jugement dont à déduire la peine prononcée en définitive de 30 jours-amende). Ces 28 jours seront partant également déduits de la peine présentement prononcée.</w:t>
      </w:r>
    </w:p>
    <w:p>
      <w:r>
        <w:rPr>
          <w:b/>
        </w:rPr>
        <w:t>E. 3.3</w:t>
      </w:r>
    </w:p>
    <w:p>
      <w:r>
        <w:t>Reste donc un solde de 59 jours de peine privative de liberté à subir (90 - 3 - 28), ce qui exclut toute indemnisation du prévenu.</w:t>
      </w:r>
    </w:p>
    <w:p>
      <w:r>
        <w:rPr>
          <w:b/>
        </w:rPr>
        <w:t>E. 4</w:t>
      </w:r>
    </w:p>
    <w:p>
      <w:r>
        <w:t>Vu l'issue de la procédure, les frais de la procédure de révision seront laissés à la charge de l'Etat (art. 428 CPP). Il n'y a toutefois pas lieu de supprimer ceux mis à la charge du cité lors de la procédure de première instance (art. 428 al. 1 et 5 CPP).</w:t>
      </w:r>
    </w:p>
    <w:p>
      <w:r>
        <w:rPr>
          <w:b/>
        </w:rPr>
        <w:t>E. 5</w:t>
      </w:r>
    </w:p>
    <w:p>
      <w:r>
        <w:t>5.1.1. Selon l'art. 135 al. 1 CPP, le défenseur d'office est indemnisé conformément au tarif des avocats du canton du for du procès. L'art. 16 du règlement sur l'assistance juridique du 28 juillet 2010 (RAJ ; E 2 05.04) dispose que l'indemnité en matière pénale est calculée selon les tarifs horaires de CHF 150.- pour le collaborateur (let. b) et de CHF 200.- pour le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5.1.3.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5.2</w:t>
      </w:r>
    </w:p>
    <w:p>
      <w:r>
        <w:t>En l'occurrence, en application des principes qui précèdent, il y a lieu de retrancher de l'état de frais présenté par M e B______ : ·      l'entretien avec son client du 7 novembre 2019 (1h), étant relevé qu'il n'était alors pas encore nommé d'office par la CPAR qui au demeurant n'était pas encore saisie de la demande de révision ; ·      40 minutes du poste " entretien avec le client " du 31 janvier 2020 ( recte ), 20 minutes étant en effet suffisantes dans le cas d'espèce pour s'entretenir par téléphone avec ce dernier, au vu de la problématique soulevée ; ·      45 minutes du poste " Etude du dossier du MP et recherches juridiques ", étant relevé que ces dernières ne sont pas indemnisées par l'assistance juridique. En conclusion, l'indemnité sera arrêtée à CHF 710.80 correspondant à 1h d'activité au tarif de CHF 200.-/heure (CHF 200.-), 2h20 à celui de CHF 150.- (CHF 350.-), plus la majoration forfaitaire de 20% (CHF 110.-) et l'équivalent de la TVA au taux de 7.7% en CHF 50.80.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