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P/8369/2025 vom 26. Juni 2025</w:t>
      </w:r>
    </w:p>
    <w:p>
      <w:r>
        <w:t>GE Cour de justice, 2025-06-26, FR</w:t>
      </w:r>
    </w:p>
    <w:p>
      <w:r>
        <w:rPr>
          <w:b/>
        </w:rPr>
        <w:t xml:space="preserve">Quelle: </w:t>
      </w:r>
      <w:r>
        <w:t>https://mcp.opencaselaw.ch/entscheid/ge_gerichte_P_8369_2025</w:t>
      </w:r>
    </w:p>
    <w:p>
      <w:r>
        <w:t>FR: GE_GERICHTE P/8369/2025 du 26 juin 2025</w:t>
      </w:r>
    </w:p>
    <w:p>
      <w:r>
        <w:t>IT: GE_GERICHTE P/8369/2025 del 26 giugno 2025</w:t>
      </w:r>
    </w:p>
    <w:p>
      <w:pPr>
        <w:pStyle w:val="Heading2"/>
      </w:pPr>
      <w:r>
        <w:t>Regeste</w:t>
      </w:r>
    </w:p>
    <w:p>
      <w:r>
        <w:t>ORDONNANCE DE NON-ENTRÉE EN MATIÈRE;ADMINISTRATION DES PREUVES | CPP.310; CP.126; CP.123; CP.181; CP.52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À teneur de l'art. 310 al. 1 let. a CPP, le ministère public rend immédiatement une ordonnance de non-entrée en matière s'il ressort de la dénonciation ou du rapport de police que les éléments constitutifs de l'infraction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(ATF 141 IV 87 consid. 1.3.1; arrêt du Tribunal fédéral 6B_196/2020 du 14 octobre 2020 consid. 3.1). Par ailleurs, selon l'art. 310 al. 1 let. c CPP, le Ministère public rend immédiatement une ordonnance de non-entrée en matière lorsqu'il peut être renoncé à toute poursuite ou à toute sanction en vertu de dispositions légales (art. 8 al. 1 CPP), notamment si la culpabilité de l'auteur et les conséquences de son acte sont peu importantes (art. 52 CP) ou s'il a été directement atteint par les conséquences de son acte au point qu'une peine serait inappropriée (art. 54 CP).</w:t>
      </w:r>
    </w:p>
    <w:p>
      <w:r>
        <w:rPr>
          <w:b/>
        </w:rPr>
        <w:t>E. 3.2</w:t>
      </w:r>
    </w:p>
    <w:p>
      <w:r>
        <w:t>Se rend coupable de voies de fait (art. 126 CP) quiconque se livre sur une personne à des voies de fait qui ne causent ni lésion corporelles ni atteinte à la santé. Se rend coupable de lésions corporelles simples (art. 123 CP) quiconque, intentionnellement, fait subir à une personne une autre atteinte à l'intégrité corporelles ou à la santé.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134 IV 189 consid. 1.3; 119 IV 25 consid. 2a). La question peut parfois être résolue de manière satisfaisante par l'application de l'art. 123 ch. 1 al. 2 CP, qui permet une atténuation libre de la peine dans les cas de peu de gravité (cf. ATF 119 IV 25 consid. 2a).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107 IV 40 consid. 5c; 103 IV 65 consid. II 2c et les références ; arrêt du Tribunal fédéral 6S.474/2005 du 27 février 2006 consid. 7.1). Comme les notions de voies de fait et d'atteinte à l'intégrité corporelle, qui sont décisives pour l'application des art. 123 et 126 CP, sont des notions juridiques indéterminées, une certaine marge d'appréciation est reconnue au juge du fait car l'établissement des faits et l'interprétation de la notion juridique indéterminée sont étroitement liés (ATF 134 IV 189 consid. 1.3; ATF 119 IV 25 consid. 2a et les arrêts cités).</w:t>
      </w:r>
    </w:p>
    <w:p>
      <w:r>
        <w:rPr>
          <w:b/>
        </w:rPr>
        <w:t>E. 3.3</w:t>
      </w:r>
    </w:p>
    <w:p>
      <w:r>
        <w:t>Est puni pour contrainte (art. 181 CP) quiconque, en usant de violence envers une personne, en la menaçant d'un dommage sérieux ou en l'entravant d'une quelconque autre manière dans sa liberté d'action, l'oblige à faire, à ne pas faire ou à laisser faire un acte.</w:t>
      </w:r>
    </w:p>
    <w:p>
      <w:r>
        <w:rPr>
          <w:b/>
        </w:rPr>
        <w:t>E. 3.4</w:t>
      </w:r>
    </w:p>
    <w:p>
      <w:r>
        <w:t>Selon l'art. 52 CP, si la culpabilité de l'auteur et les conséquences de son acte sont peu importantes, l'autorité compétente renonce à la poursuivre, à le renvoyer devant le juge ou à lui infliger une peine. Cette disposition prévoit donc deux conditions cumulatives (M. NIGGLI / H. WIPRÄCHTIGER (éds), Basler Kommentar, Strafrecht I , 4 ème éd., 2019, n. 19 ad art. 52). Pour décider si les infractions pour lesquelles la culpabilité et les conséquences de l'acte sont de peu d'importance, les autorités compétentes doivent apprécier chaque cas particulier en fonction du cas normal de l'infraction définie par le législateur ; on ne saurait en effet annuler par une disposition générale toutes les peines mineures prévues par la loi (Message relatif à la modification du code pénal suisse (dispositions générales, introduction et application de la loi pénale) et du code pénal militaire et à la loi fédérale sur le droit pénal des mineurs du 21 septembre 1998, FF 1999 1871). Pour apprécier la culpabilité, il faut tenir compte de tous les éléments pertinents pour la fixation de la peine, notamment des circonstances personnelles de l'auteur, tels que les antécédents, la situation personnelle ou le comportement de l'auteur après l'infraction (ATF 135 IV 130 consid. 5.4). L'importance de la culpabilité et celle du résultat dans le cas particulier doivent être évaluées par comparaison avec celle de la culpabilité et celle du résultat dans les cas typiques de faits punissables revêtant la même qualification (ATF 135 IV 130 consid. 5.3.3). L'art. 54 CP, quant à lui, dispose que si l'auteur a été directement atteint par les conséquences de son acte au point qu'une peine serait inappropriée, l'autorité compétente renonce à le poursuivre, à la renvoyer devant le juge ou à lui infliger une peine. Ne peut se prévaloir de l'art. 54 CP que celui qui est directement atteint par les conséquences de son acte. Tel est notamment le cas si l'auteur a subi des atteintes physiques – par exemple s'il a été blessé lors de l'accident qu'il a provoqué – ou psychiques – comme celles qui affectent une mère de famille devenue veuve par suite de l'accident de la circulation qu'elle a causé (ATF 119 IV 280 consid. 2b) – résultant de la commission même de l'infraction. En revanche, les désagréments dus à l'ouverture d'une instruction pénale, la dégradation de la situation financière, le divorce ou le licenciement consécutifs à l'acte délictueux, ne constituent que des conséquences indirectes de l'infraction, sans pertinence au regard de l'art. 54 CP (ATF 117 IV 245 consid. 2a).</w:t>
      </w:r>
    </w:p>
    <w:p>
      <w:r>
        <w:rPr>
          <w:b/>
        </w:rPr>
        <w:t>E. 3.5</w:t>
      </w:r>
    </w:p>
    <w:p>
      <w:r>
        <w:t>En l'espèce, il faut constater avec le Ministère public que les versions du plaignant et des mis en cause divergent en ce qui concerne la tentative de contrainte. Il faut certes admettre avec le recourant que les gifles données par C______ ont été très soudaines, de sorte que les insultes préalables de la part du recourant semblent peu probables, mettant dès lors à mal la crédibilité de C______. Il n'en demeure pas moins qu'aucun indice ne permet de retenir des soupçons suffisants de contrainte à l'encontre des deux mis en cause. D'ailleurs, le recourant n'explique ni dans sa plainte ni dans son acte de recours quelle plainte il devait être amené à retirer, les deux procédures qu'il invoque ne concernant pas les mis en cause. On ne voit au surplus pas quels actes d'instruction pourraient permettre, cas échéant, d'étayer les accusations portées par le recourant. Dès lors, c'est à juste titre que le Ministère public a décidé de ne pas entrer en matière. Le grief en lien avec l'absence d'audition ou plus largement d'instruction en lien avec l'atteinte alléguée par le recourant doit également être rejeté. Il paraît tout d'abord difficile de reprocher au Ministère public de n'avoir pas instruit des lésions corporelles qui n'étaient pas même alléguées. Cela étant, les images de vidéosurveillance de la mise en cellule forte du recourant démontrent que la seule atteinte constatée était une lèvre ouverte, avec un saignement dans la bouche. Les faits sont donc suffisamment établis. Une telle lésion, dont le recourant n'a pas même jugé utile de parler dans sa plainte pénale, doit manifestement être qualifiée, tout au plus, de voies de fait au regard de la jurisprudence rappelée plus haut. C'est donc à juste titre que le Ministère public a retenu cette qualification juridique et non celle de lésions corporelles simples. Avec le Ministère public également, il faut retenir que la culpabilité des mis en cause et les conséquences de leurs actes sont de peu d'importance. S'il convient de ne pas annuler, pour ce motif, la peine prévue par l'art. 126 CP, ni banaliser des actes commis dans le cadre d'un milieu carcéral, un saignement à la lèvre, dont le recourant ne se plaint ni dans sa plainte ni dans son recours, ne justifie assurément pas une poursuite pénale. Cette conclusion scelle le sort du recours, sans qu'il ne soit nécessaire d'examiner les autres arguments soulevés.</w:t>
      </w:r>
    </w:p>
    <w:p>
      <w:r>
        <w:rPr>
          <w:b/>
        </w:rPr>
        <w:t>E. 4</w:t>
      </w:r>
    </w:p>
    <w:p>
      <w:r>
        <w:t>Justifiée, l'ordonnance querellée sera donc confirmée.</w:t>
      </w:r>
    </w:p>
    <w:p>
      <w:r>
        <w:rPr>
          <w:b/>
        </w:rPr>
        <w:t>E. 5</w:t>
      </w:r>
    </w:p>
    <w:p>
      <w:r>
        <w:t>Le recourant, qui succombe, supportera les frais envers l'État, qui seront fixés en totalité à CHF 900.- (art. 428 al. 1 CPP et 13 al. 1 du Règlement fixant le tarif des frais en matière pénale, RTFMP ; E 4 10.03).</w:t>
      </w:r>
    </w:p>
    <w:p>
      <w:r>
        <w:rPr>
          <w:b/>
        </w:rPr>
        <w:t>E. 6</w:t>
      </w:r>
    </w:p>
    <w:p>
      <w:r>
        <w:t>Corrélativement, aucun dépens ne lui sera alloué (ATF 144 IV 207 consid. 1.8.2) et sa demande d'assistance judiciaire gratuite rejetée, le recours étant voué à l'échec pour les motifs précédemment exposés (art. 136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