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P/8350/2010 vom 19. Mai 2022</w:t>
      </w:r>
    </w:p>
    <w:p>
      <w:r>
        <w:t>GE Cour de justice, 2022-05-19, FR</w:t>
      </w:r>
    </w:p>
    <w:p>
      <w:r>
        <w:rPr>
          <w:b/>
        </w:rPr>
        <w:t xml:space="preserve">Quelle: </w:t>
      </w:r>
      <w:r>
        <w:t>https://mcp.opencaselaw.ch/entscheid/ge_gerichte_P_8350_2010</w:t>
      </w:r>
    </w:p>
    <w:p>
      <w:r>
        <w:t>FR: GE_GERICHTE P/8350/2010 du 19 mai 2022</w:t>
      </w:r>
    </w:p>
    <w:p>
      <w:r>
        <w:t>IT: GE_GERICHTE P/8350/2010 del 19 maggio 2022</w:t>
      </w:r>
    </w:p>
    <w:p>
      <w:pPr>
        <w:pStyle w:val="Heading2"/>
      </w:pPr>
      <w:r>
        <w:t>Regeste</w:t>
      </w:r>
    </w:p>
    <w:p>
      <w:r>
        <w:t>BRIGANDAGE | CP.140.al1; CP.140.ch3; CP.48.lete; CP.43</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 À l'aune de l'art. 2 CP, la réforme du droit des sanctions, entrée en vigueur au 1 er janvier 2018, est en règle générale moins favorable à la personne condamnée (M. DUPUIS / L. MOREILLON / C. PIGUET / S. BERGER / M. MAZOU / V. RODIGARI [éds], Code pénal, Petit Commentaire , 2 ème éd., Bâle 2017, Rem. prél. ad art. 34 à 41, n. 6). Le cas d'espèce ne faisant pas exception, notamment en raison de l'aggravation de la peine plancher de l'art. 140 ch. 1 CP, il sera fait application de l'ancien droit.</w:t>
      </w:r>
    </w:p>
    <w:p>
      <w:r>
        <w:rPr>
          <w:b/>
        </w:rPr>
        <w:t>E. 2.2</w:t>
      </w:r>
    </w:p>
    <w:p>
      <w:r>
        <w:t>L'auteur d'une infraction à l'art. 140 ch. 1 aCP est sanctionné d'une peine privative de liberté de dix ans au plus ou d'une peine pécuniaire de 180 jours-amende au moins et celui d'une infraction à l'art. 140 ch. 3 aCP l'est de deux ans au moins. Aux termes de l'art. 97 al. 1 CP, l'action pénale se prescrit par quinze ans si la peine maximale encourue est une peine privative de liberté de plus de trois ans (let. b). 2.3.1.1.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2.3.1.2.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2.3.1.3. Dans l'exercice de son pouvoir d'appréciation, le juge doit respecter, en particulier, le principe d'égalité de traitement (art. 8 al. 1 de la Constitution fédérale [Cst. féd.]; ATF 135 IV 191 consid. 3.2).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123 IV 49 consid. 2e ; ATF 120 IV 136 consid. 3a et les références).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141 IV 61 consid. 6.3.2 ; ATF 135 IV 191 consid. 3.1 ; arrêt du Tribunal fédéral 6B_353/2016 du 30 mars 2017 consid. 3.2). 2.3.2.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à savoir la diminution de l'intérêt à punir en raison de l'effet guérisseur du temps écoulé. Il faut également tenir compte qu'en se comportant bien pendant un temps relativement long, l'auteur reconnaît à nouveau l'ordre juridique, de sorte que la nécessité de punir diminue (ATF 140 IV 145 consid. 3.1 p. 148 ; 132 IV 1 consid. 6.1.1 p. 2). La jurisprudence admet donc qu'il s'est écoulé un temps relativement long au sens de l'art. 48 let. e CP lorsque la poursuite pénale est près d'être acquise (ATF 102 IV 198 consid. 5 p. 209 ; 92 IV 201 consid. b p. 202 s.), étant précisé que les délais spéciaux, plus courts, ne s'appliquent pas (art. 109, 118 al. 4 et 178 al. 1 CP ; ATF 132 IV 1 consid. 6.1.1. p. 2 ; 92 IV 201 = JdT 1967 IV 44 ; 89 IV 3 = JdT 1963 IV 36 ; arrêt du Tribunal fédéral 6B_395/2009 du 20 octobre 2009 consid. 6.6.3). Cette condition est en tout cas réalisée lorsque les deux tiers du délai de prescription de l'action pénale sont écoulés. Le juge peut toutefois réduire ce délai pour tenir compte de la nature et de la gravité de l'infraction (ATF 140 IV 145 consid. 3.1 p. 148 ; 132 IV 1 consid. 6.2 p. 2). Le juge doit se référer à la date à laquelle les faits ont été souverainement établis, soit, en cas d'appel, le moment où le jugement de seconde instance a été rendu (ATF 140 IV 145 consid. 3.1 p. 148 ; 132 IV 1 consid. 6.2.1 p. 4; arrêt du Tribunal fédéral 6B_664/2015 du 18 septembre 2015 consid. 1.1). 2.3.3. En l'espèce, la faute de l'appelant est très lourde. Par son comportement, impliquant une forte violence psychologique, il s'en est pris à la liberté et à l'intégrité psychique de plusieurs personnes, ainsi qu'au patrimoine d'autrui. Les deux agresseurs n'ont pas agi au hasard. Un plan, une préparation, dont l'acquisition d'un pistolet factice, et une répartition des rôles ont été nécessaires pour commettre le braquage. La situation personnelle de l'appelant n'explique nullement ses actes, dès lors qu'il avait pu travailler par le passé et qu'il lui aurait été loisible de chercher un travail légal, y compris en dehors du Monténégro, ce qu'il n'a pas fait, préférant adopter un mode de vie ancré dans la délinquance, marqué par l'appât d'un gain facile et important. Il a des antécédents spécifiques aux casiers judiciaires français et monégasque, lesquels n'entrent pas en concours rétrospectif avec les faits reprochés (art. 49 al. 2 CP; ATF 142 IV 329 ). Bien que ces condamnations concernent des faits anciens pour la plupart, lesdits antécédents renseignent néanmoins sur la forte intensité de la volonté délictuelle de l'appelant avant son arrestation en 2009. Le butin d'une valeur totale supérieure à CHF 900'000.- et d'environ CHF 2'000'000.- à la revente, dont le sort reste inconnu, est considérable. Les explications de l'appelant à ce propos ne sont pas crédibles. L'inventaire des pièces dérobées en possession des braqueurs à K______, qu'ils n'ont sans doute pas établi dans le train, démontre qu'ils étaient bien en possession du butin à leur arrivée dans cette ville. La collaboration de l'appelant ne saurait être qualifiée de bonne ; s'il a d'emblée reconnu avoir commis le braquage reproché, il pouvait difficilement en aller autrement au vu des éléments au dossier. Comme évoqué, il n'a fourni aucune information au sujet du butin ou d'autres éléments utiles à l'enquête. Il a en effet livré des explications contradictoires, confuses et inconsistantes au sujet du nombre de pièces dérobées qui était inférieur à celui retenu par le bijoutier, des moyens de transport utilisés au moment du braquage, des lieux où ils ont séjourné à Genève et des raisons pour lesquelles il se sont rendus et sont restés, cinq jours durant, à K______. L'incohérence de son récit permet au contraire de conclure, avec les éléments relevés par les enquêteurs mentionnés supra , que des tiers ont très vraisemblablement été impliqués, à propos desquels l'appelant est resté silencieux. Les faits qui lui sont reprochés dans la présente cause sont anciens, les deux tiers du délai de prescription de 15 ans étant dépassés, si bien que l'effet guérisseur du temps écoulé diminue l'intérêt à punir. Depuis les faits et sa longue incarcération, il ne peut être exclu que l'appelant a parcouru un chemin dans la prise de conscience de ses actes et qu'il est disposé à renoncer à la délinquance, étant relevé que rien au dossier ne permet de retenir un mauvais comportement alors qu'il était en détention et qu'il a présenté des excuses et exprimé des regrets à plusieurs reprises. Les condamnations postérieures aux faits reprochés dans la présente cause, telles qu'elles ressortent du dossier, ne le permettent en particulier pas. Celle du 11 mai 2009, qui porte sur l'entrée et le séjour illégaux de l'appelant en France directement consécutifs au braquage et à sa fuite de Suisse, ne saurait en effet être prise en compte dans l'examen du comportement de l'appelant depuis la commission des faits, en étant en quelques sortes la conséquence. Celle du 22 mai 2018 concerne, selon ses dires, non contredits par le dossier et plausibles, la détention d'une clé USB en prison, soit des faits de moindre importance, et ne témoigne donc pas d'un ancrage dans la délinquance depuis les faits. Partant, l'intérêt à punir a diminué pour ce motif également. La circonstance atténuante au sens de l'art. 48 let. e CP doit ainsi être retenue. Cela étant, l'appelant persiste, encore en appel, dans ses explications dénuées de toute crédibilité, ne démontrant pas avoir achevé son travail d'introspection, de sorte que l'intérêt à punir, certes moindre que si l'appelant avait été jugé rapidement après les faits, subsiste, a fortiori au vu de la nature et la gravité de l'infraction. A l'issue de l'ensemble des éléments qui précèdent, la Cour considère qu'une peine privative de liberté, atténuée, de trois ans est adéquate. La comparaison avec un seul cas similaire de brigandage jugé par la Cour de céans, où une peine de deux ans avait été infligée à l'accusé pour des faits anciens, ne conduit pas à un résultat choquant, étant relevé que la sanction retenue se situe dans la fourchette basse du cadre légal de la peine. Elle ne constitue donc pas une violation de l'égalité de traitement. 2.4.1. Selon l'art. 42 al. 1 CP, le juge suspend en règle générale l'exécution, notamment, d'une peine privative de liberté de deux ans au plus lorsqu'une peine ferme ne paraît pas nécessaire pour détourner l'auteur d’autres crimes ou délits.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Dans le cas des peines privatives de liberté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 arrêt du Tribunal fédéral 6B_129/2015 du 11 avril 2016 consid. 3.1 non reproduit in ATF 142 IV 89 ).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 134 IV 140 consid. 4.2 ; arrêts du Tribunal fédéral 6B_1339/2016 du 23 mars 2017 consid. 1.1.1). Pour fixer dans ce cadre la durée de la partie ferme et avec sursis de la peine, le juge dispose d'un large pouvoir d'appréciation. À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p. 15). Ainsi, la faute constitue au premier chef un critère d'appréciation pour la fixation de la peine (cf. art. 47 CP), puis doit être prise en compte de manière appropriée dans un deuxième temps pour déterminer la partie de la peine qui devra être exécutée (arrêts du Tribunal fédéral 6B_1323/2015 du 2 septembre 2016 consid. 1.1 et 6B_713/2007 du 4 mars 2008 consid. 2.3). 2.4.2. Le passé criminel important de l'appelant et l'admission limitée des faits in casu le peignent sous un jour défavorable. Ces éléments sont toutefois compensés par le fait qu'il subit pour la première fois une très longue période de détention et qu'il énonce des projets de vie stable, crédibles, pour sa sortie de prison. Ainsi, la CPAR veut croire qu'une peine assortie d'un sursis partiel – seul envisageable en l'espèce – sera de nature à l'éloigner de tout agissement illicite à l'avenir. Le pronostic favorable, qui est présumé, n'est ainsi pas totalement renversé et l'appelant sera mis au bénéfice du sursis partiel. Compte tenu de la gravité de la faute commise, et des antécédents spécifiques de l'appelant, la partie ferme de la peine sera arrêtée au maximum légal, soit à 18 mois, le solde étant assorti du sursis. Au vu des antécédents de l’appelant, qui ne l'ont manifestement pas dissuadé d’agir dans la présente espèce mais semblent au contraire lui avoir donné un certain sentiment d'impunité, le délai d'épreuve sera fixé à cinq ans, soit le maximum légal, afin de convaincre l'appelant de se comporter de façon irréprochable à l’avenir.</w:t>
      </w:r>
    </w:p>
    <w:p>
      <w:r>
        <w:rPr>
          <w:b/>
        </w:rPr>
        <w:t>E. 3</w:t>
      </w:r>
    </w:p>
    <w:p>
      <w:r>
        <w:t>L'appelant, qui n'obtient que partiellement gain de cause, supportera la moitié des frais de la procédure d'appel envers l'Etat (art. 428 CPP). Il n'y a pas lieu de revoir les frais de première instance.</w:t>
      </w:r>
    </w:p>
    <w:p>
      <w:r>
        <w:rPr>
          <w:b/>
        </w:rPr>
        <w:t>E. 4.1</w:t>
      </w:r>
    </w:p>
    <w:p>
      <w:r>
        <w:t>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4.2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4.3</w:t>
      </w:r>
    </w:p>
    <w:p>
      <w:r>
        <w:t>Lorsque le client de l'avocat est détenu, une visite d'une heure et 30 minutes par mois jusqu'au prononcé du jugement ou de l'arrêt cantonal est admise ce qui comprend le temps de déplacement ( AARP/181/2017 du 30 mai 2017 consid. 8.2.2.2 et 8.3.5 ; cf. également Ordonnance de la Cour des plaintes du Tribunal pénal fédéral BB.2016.369 du 12 juillet 2017 consid. 4.2.4). Il se justifie dans le cas où le lieu de détention se trouve hors du canton de tenir compte de la durée vraisemblable de la vacation dans le calcul de l'indemnité (ordonnance de la Cour des plaintes du Tribunal pénal fédéral BB.2016.58 du 26 août 2016 consid. 6.5 ; ACPR/400/2016 du 29 juin 2016 consid. 3.4.4). Le tarif appliqué doit néanmoins être réduit de moitié, l'avocat pouvant mettre utilement ce temps à profit pour travailler, et le remboursement du billet de train limité au prix de la 2ème classe ( AARP/298/2014 du 27 juin 2014 ; AARP/125/2014 du 21 mars 2014; cf. ordonnance de la Cour des plaintes BB.2015.44 du 27 octobre 2015 consid. 3.2.4).</w:t>
      </w:r>
    </w:p>
    <w:p>
      <w:r>
        <w:rPr>
          <w:b/>
        </w:rPr>
        <w:t>E. 4.4</w:t>
      </w:r>
    </w:p>
    <w:p>
      <w:r>
        <w:t>En l'occurrence, le dossier de la cause comprend trois classeurs d’instruction, pièces de forme comprises, et un petit classeur comprenant les pièces de la procédure de première instance ; il était connu du conseil de l’appelant, qui l'a plaidé il y a peu en première instance et qui n'a pas soulevé d'argument nouveau dans la procédure d'appel, limitée à la question de la peine. Ainsi, le temps consacré à l’étude du dossier, puis à la préparation des débats d’appel, qui totalise 14 heures et 30 minutes, est manifestement exagéré. Il sera arrêté à quatre heures d'activité. Les deux heures consacrées au déplacement en voiture pour la visite au pénitencier de B______ seront facturées à la moitié du tarif horaire conformément à la jurisprudence dont il n'y a pas lieu de s'écarter. En conclusion, la rémunération sera arrêtée à CHF 2'121.70 correspondant à sept heures et 30 minutes d'activité au tarif de CHF 200.-/heure (CHF 1'500.-), deux heures d'activité au tarif de CHF 100.-/heure (CHF 200.-), plus la majoration forfaitaire de 10% (CHF 170.-), l’activité totale dépassant dorénavant 30 heures, une vacation au Palais de justice à CHF 100.- et l'équivalent de la TVA au taux de 7.7% en CHF 151.70.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