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P/8319/2012 vom 19. November 2013</w:t>
      </w:r>
    </w:p>
    <w:p>
      <w:r>
        <w:t>GE Cour de justice, 2013-11-19, FR</w:t>
      </w:r>
    </w:p>
    <w:p>
      <w:r>
        <w:rPr>
          <w:b/>
        </w:rPr>
        <w:t xml:space="preserve">Quelle: </w:t>
      </w:r>
      <w:r>
        <w:t>https://mcp.opencaselaw.ch/entscheid/ge_gerichte_P_8319_2012</w:t>
      </w:r>
    </w:p>
    <w:p>
      <w:r>
        <w:t>FR: GE_GERICHTE P/8319/2012 du 19 novembre 2013</w:t>
      </w:r>
    </w:p>
    <w:p>
      <w:r>
        <w:t>IT: GE_GERICHTE P/8319/2012 del 19 novembre 2013</w:t>
      </w:r>
    </w:p>
    <w:p>
      <w:pPr>
        <w:pStyle w:val="Heading2"/>
      </w:pPr>
      <w:r>
        <w:t>Regeste</w:t>
      </w:r>
    </w:p>
    <w:p>
      <w:r>
        <w:t>MENDICITÉ; DROIT FONDAMENTAL | CPP.398.4; CEDH.10.1; Cst.8.2; CP.70.1; LPG.11A; CPP.263; CPP.217.3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L’appelante soutient que l’interdiction de la mendicité constitue une atteinte inadmissible à sa liberté d’expression, et en particulier, de communication. ![endif]&gt;![if&gt;</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Chambre de céans n’est pas liée par la décision autrichienne citée par l’appelante.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l’appelante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w:t>
      </w:r>
    </w:p>
    <w:p>
      <w:r>
        <w:t>3.1. L’appelante soutient aussi que l’interdiction de la mendicité constitue un traitement discriminatoire indirect en raison de sa race et de sa situation sociale.</w:t>
      </w:r>
    </w:p>
    <w:p>
      <w:r>
        <w:rPr>
          <w:b/>
        </w:rPr>
        <w:t>E. 3.2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 ibid. ).</w:t>
      </w:r>
    </w:p>
    <w:p>
      <w:r>
        <w:rPr>
          <w:b/>
        </w:rPr>
        <w:t>E. 3.3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L'appelante fait aussi valoir que la norme litigieuse consacre une discrimination sociale, dans la mesure où elle vise de manière prépondérante les pauvres et contribue à les stigmatiser. Il est douteux que le dénuement de l'appelante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 s'y livrent, l'interdiction de la mendicité ne les priverait pas du minimum nécessaire, mais d'un revenu d'appoint, même si des exceptions restent toujours possibles (ATF 134 I 214 ). Infondé, ce grief doit ainsi être rejeté.</w:t>
      </w:r>
    </w:p>
    <w:p>
      <w:r>
        <w:rPr>
          <w:b/>
        </w:rPr>
        <w:t>E. 4</w:t>
      </w:r>
    </w:p>
    <w:p>
      <w:r>
        <w:t>4.1. L'appelante invoque une restriction injustifiée à sa liberté personnelle et une atteinte à sa dignité humaine (art. 7, 10 et 36 al. 3 Cst. et 8 CEDH), son extrême pauvreté la contraignant à demander l'aumône.</w:t>
      </w:r>
    </w:p>
    <w:p>
      <w:r>
        <w:rPr>
          <w:b/>
        </w:rPr>
        <w:t>E. 4.2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Ce grief est aussi rejeté.</w:t>
      </w:r>
    </w:p>
    <w:p>
      <w:r>
        <w:rPr>
          <w:b/>
        </w:rPr>
        <w:t>E. 5</w:t>
      </w:r>
    </w:p>
    <w:p>
      <w:r>
        <w:t>5.1. L'appelante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L'appelante, dans ce contexte, cite une norme fribourgeoise réprimant comme suit la mendicité :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5.2</w:t>
      </w:r>
    </w:p>
    <w:p>
      <w:r>
        <w:t>Le principe nullapoena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nullapoena sine lege certa )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l'appelante, qui justifie ses actes par sa grande pauvreté, quémandait de l'argent aux passants, en leur tendant notamment un gobelet. Son comportement correspond ainsi au sens le plus clair et le plus littéral de la norme. Le grief est donc infondé.</w:t>
      </w:r>
    </w:p>
    <w:p>
      <w:r>
        <w:rPr>
          <w:b/>
        </w:rPr>
        <w:t>E. 5.4</w:t>
      </w:r>
    </w:p>
    <w:p>
      <w:r>
        <w:t>Au vu de ce qui précède, c’est à bon droit que le premier juge a reconnu l’appelante coupable de mendicité. Sa décision doit être confirmée.</w:t>
      </w:r>
    </w:p>
    <w:p>
      <w:r>
        <w:rPr>
          <w:b/>
        </w:rPr>
        <w:t>E. 5.5</w:t>
      </w:r>
    </w:p>
    <w:p>
      <w:r>
        <w:t>Il était encore reproché à la prévenue d'avoir contrevenu aux art. 1 et 12 RTP en commettant un excès de bruit le 3 mai 2011 à la rue du Marché, mais elle a été acquittée de cette infraction, sur laquelle il n'y a par conséquent pas lieu de revenir. Le verdict de culpabilité rendu en première instance doit ainsi être intégralement confirmé.</w:t>
      </w:r>
    </w:p>
    <w:p>
      <w:r>
        <w:rPr>
          <w:b/>
        </w:rPr>
        <w:t>E. 6</w:t>
      </w:r>
    </w:p>
    <w:p>
      <w:r>
        <w:t>6.1. 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6.2</w:t>
      </w:r>
    </w:p>
    <w:p>
      <w:r>
        <w:t>En l’occurrence, l’amende a été fixée à CHF 1'440.- pour plus de septante-cinq infractions sanctionnées chacune initialement d’une amende de CHF 100.-, voire parfois de CHF 150.-. Ce montant est adéquat, voire clément, et n’a d’ailleurs pas été critiqué en tant que tel. Il en est de même de la peine privative de liberté de substitution, fixée à quarante-huit jours.</w:t>
      </w:r>
    </w:p>
    <w:p>
      <w:r>
        <w:rPr>
          <w:b/>
        </w:rPr>
        <w:t>E. 7</w:t>
      </w:r>
    </w:p>
    <w:p>
      <w:r>
        <w:t>L'appelante conteste encore la confiscation du montant de CHF 14.- qui a été saisi le 7 avril 2011 et sollicite sa restitution avec intérêts moratoires à 5 % dès cette même date.</w:t>
      </w:r>
    </w:p>
    <w:p>
      <w:r>
        <w:rPr>
          <w:b/>
        </w:rPr>
        <w:t>E. 7.1</w:t>
      </w:r>
    </w:p>
    <w:p>
      <w:r>
        <w:t>Aux termes de l'art. 263 CPP, des objets et des valeurs patrimoniales appartenant au prévenu ou à des tiers peuvent être mis sous séquestre, lorsqu'il est probable : a. qu'ils seront utilisés comme moyens de preuves ; b. qu'ils seront utilisés pour garantir le paiement des frais de procédure, des peines pécuniaires, des amendes et des indemnités ; c. qu'ils devront être restitués au lésé ; d. qu'ils devront être confisqués (alinéa 1). Le séquestre est ordonné par voie d'ordonnance écrite, brièvement motivée. En cas d'urgence, il peut être ordonné oralement; toutefois, par la suite, l'ordre doit être confirmé par écrit (alinéa 2). Lorsqu'il y a péril en la demeure, la police ou des particuliers peuvent provisoirement mettre en sûreté des objets et des valeurs patrimoniales à l'intention du ministère public ou du tribunal (alinéa 3). Il résulte ainsi de cette disposition que, lorsque l'une des conditions énumérées aux lettres a) à d) est remplie et qu'il y a péril en la demeure, la police peut procéder à une mise en sûreté des objets ou des valeurs patrimoniales. Selon l'art. 70 al. 1 CP, les valeurs patrimoniales qui sont le résultat d'une infraction doivent être saisies par le juge, si elles ne doivent pas être restituées au lésé en rétablissement de ses droits. Dans un cas similaire à celui de l'appelante, la Chambre pénale de recours a jugé qu'en application de l'art. 263 al. 3 CPP, les sommes détenues par une personne se livrant à la mendicité pouvaient être séquestrées par la police en vue de confiscation ultérieure dans la mesure où il s'agissait du produit de son activité illicite ( OCPR/31/2011 du 30 septembre 2011 consid. 2.2). De même, dans un arrêt AARP/129/2012 du 7 mai 2012, la Chambre de céans a considéré que c'était à tort que le premier juge avait restitué à l'appelante la somme qui lui avait été confisquée, dès lors qu'il s'agissait du produit de l'infraction au sens de l'art. 70 CP et que les gendarmes étaient donc habilités à saisir des valeurs patrimoniales dans un tel cas (art. 263 al. 3 CPP).</w:t>
      </w:r>
    </w:p>
    <w:p>
      <w:r>
        <w:rPr>
          <w:b/>
        </w:rPr>
        <w:t>E. 7.2</w:t>
      </w:r>
    </w:p>
    <w:p>
      <w:r>
        <w:t>En l'espèce, c'est précisément en se fondant sur l'arrêt précité que le Tribunal a procédé à la confiscation de la somme de CHF 14.- saisie en lien avec l'ordonnance pénale n° 20______ au titre de produit de l'infraction. L'appelante ne critique pas cette décision, mais se borne à faire valoir qu'aucune enquête n'a été effectuée pour déterminer la provenance de cette somme. Or, il n'existe aucun élément dans le dossier permettant de penser que cet argent ne proviendrait pas directement des infractions de mendicité commises par la prévenue, laquelle ne prétend d'ailleurs pas le contraire. Ainsi, la confiscation de ce montant se justifiait en application de l'art. 70 al. 1 CP. L'appel sera par conséquent aussi rejeté sur ce point.</w:t>
      </w:r>
    </w:p>
    <w:p>
      <w:r>
        <w:rPr>
          <w:b/>
        </w:rPr>
        <w:t>E. 8.1</w:t>
      </w:r>
    </w:p>
    <w:p>
      <w:r>
        <w:t>L’appelante n'a pas formulé de conclusions en indemnisation pour les quatre heures et quarante-cinq minutes passées au total au poste de police les11 novembre 2011 et 23 mars 2012 dans le délai de vingt jours imparti par l'ordonnance de la Chambre de céans du 30 août 2013 et paraît donc y avoir renoncé.</w:t>
      </w:r>
    </w:p>
    <w:p>
      <w:r>
        <w:rPr>
          <w:b/>
        </w:rPr>
        <w:t>E. 8.2</w:t>
      </w:r>
    </w:p>
    <w:p>
      <w:r>
        <w:t>L'art. 429 al. 2 CPP mentionne certes que l'autorité pénale examine d'office les prétentions du prévenu, même si elle peut l'enjoindre de les chiffrer et de les justifier, mais cette disposition s'applique seulement aux indemnités dues en cas d'acquittement total ou partiel ou si le prévenu bénéficie d'une ordonnance de classement comme cela ressort de l'al. 1, conditions non réalisées en l'espèce. L'appelante ne prétend pas non plus avoir fait l'objet de mesures de contraintes illicites au sens de l'art. 431 CPP et, comme cela ressort de l'al. 3 let. a de cette disposition, elle n'aurait de toute manière pas droit à une indemnité au vu de la peine privative de liberté de substitution fixée en cas de non-paiement de l'amende qui lui a été infligée. La détention avant jugement visée par ces articles suppose d'ailleurs une privation de liberté d'une certaine durée que la doctrine et la jurisprudence fixent à plus de trois heures, et ce indépendamment de l'autorité - policer ou magistrat - qui l'a ordonnée (ROTH / MOREILLON (éds.), Commentaire romand, Code pénal I , Bâle 2009, n. 1 ad art. 110, p. 1030 et les références citées). L'arrestation ne figure pas expressément dans la définition de l'art. 110 al. 7 CP. Toutefois, lorsqu'elle excède trois heures et même si elle est le fait d'une autorité policière, l'arrestation constitue une détention avant jugement. Le système mis en place par les articles 215 ss CPP confirme la limite de trois heures comme étant déterminante pour distinguer la simple appréhension policière qui ne constitue pas encore une détention avant jugement de l'arrestation provisoire qui en constitue une (ROTH / MOREILLON op. cit., n. 3 ad art. 110, p. 1031 et les références citées).</w:t>
      </w:r>
    </w:p>
    <w:p>
      <w:r>
        <w:rPr>
          <w:b/>
        </w:rPr>
        <w:t>E. 8.3</w:t>
      </w:r>
    </w:p>
    <w:p>
      <w:r>
        <w:t>En l’occurrence, il ressort des faits de la cause, non contestés, que l’appelante n’a pas subi de détention avant jugement, mais, à deux reprises, une conduite au poste de police ordonnée au motif qu’elle avait été prise en flagrant délit de contravention au sens de l'art. 217 al. 3 CPP. Conformément à l’art. 219 al. 5 CPP, sa présence au poste de police n’a, à ces deux occasions, pas excédé trois heures et elle n'a donc pas subi de détention susceptible d’être indemnisée en vertu des dispositions susmentionnées. Au demeurant, le premier juge a déduit tant de l'amende que de la peine privative de liberté de substitution fixées deux jours de détention avant jugement en raison précisément des quelques heures que l'appelante a passées au poste de police, décision qui lui est acquise en raison de l'interdiction de la reformatio in pejus (art. 391 al. CPP). Elle ne saurait dès lors réclamer une indemnité en sus.</w:t>
      </w:r>
    </w:p>
    <w:p>
      <w:r>
        <w:rPr>
          <w:b/>
        </w:rPr>
        <w:t>E. 9</w:t>
      </w:r>
    </w:p>
    <w:p>
      <w:r>
        <w:t>L’appelante, qui succombe, sera condamnée aux frais de la procédure d’appel, comprenant un émolument de décision de CHF 1'000.- (art. 428 al. 1 CPP et 14 al. 1 let. e du règlement fixant le tarif des frais en matière pénale du 22 décembre 2010 [RTFMP ; RS E 4 10.03]).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