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P/8306/2024 vom 28. Februar 2025</w:t>
      </w:r>
    </w:p>
    <w:p>
      <w:r>
        <w:t>GE Cour de justice, 2025-02-28, FR</w:t>
      </w:r>
    </w:p>
    <w:p>
      <w:r>
        <w:rPr>
          <w:b/>
        </w:rPr>
        <w:t xml:space="preserve">Quelle: </w:t>
      </w:r>
      <w:r>
        <w:t>https://mcp.opencaselaw.ch/entscheid/ge_gerichte_P_8306_2024</w:t>
      </w:r>
    </w:p>
    <w:p>
      <w:r>
        <w:t>FR: GE_GERICHTE P/8306/2024 du 28 février 2025</w:t>
      </w:r>
    </w:p>
    <w:p>
      <w:r>
        <w:t>IT: GE_GERICHTE P/8306/2024 del 28 febbraio 2025</w:t>
      </w:r>
    </w:p>
    <w:p>
      <w:pPr>
        <w:pStyle w:val="Heading2"/>
      </w:pPr>
      <w:r>
        <w:t>Regeste</w:t>
      </w:r>
    </w:p>
    <w:p>
      <w:r>
        <w:t>PLAINTE PÉNALE;PERSONNE AUTORISÉE À SIGNER;VICE DE FORME;ORDONNANCE DE NON-ENTRÉE EN MATIÈRE | CPP.310; CPP.304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 n. 9 ad art. 310 ; R. PFISTER-LIECHTI (éd.), La procédure pénale fédérale, Fondation pour la formation continue des juges suisses , Berne 2010, p. 62 ; DCPR/85/2011 du 27 avril 2011).</w:t>
      </w:r>
    </w:p>
    <w:p>
      <w:r>
        <w:rPr>
          <w:b/>
        </w:rPr>
        <w:t>E. 3.2</w:t>
      </w:r>
    </w:p>
    <w:p>
      <w:r>
        <w:t>À teneur de l'art. 304 al. 1 CPP, la plainte pénale déposée par écrit doit être signée pour être considérée comme valable et permettre l'ouverture d'une poursuite pénale (Y. JEANNERET / A. KUHN / C. PERRIER DEPEURSINGE (éds), op. cit. , n. 2 ad art. 304). Lorsque le Ministère public s'aperçoit que l'absence de signature procède d'une inadvertance, il impartit un bref délai à l'auteur de l'omission pour réparer l'informalité (arrêt du Tribunal fédéral 6B_1249/2022 du 6 janvier 2023 consid. 3; cf. aussi ACPR/220/2013 du 22 mai 2013 et les références citées).</w:t>
      </w:r>
    </w:p>
    <w:p>
      <w:r>
        <w:rPr>
          <w:b/>
        </w:rPr>
        <w:t>E. 3.3</w:t>
      </w:r>
    </w:p>
    <w:p>
      <w:r>
        <w:t>En l'espèce, force est de constater que la plainte pénale du 25 mars 2024, transmise par le Ministère public du canton de Vaud à son homologue genevois, n'était pas signée par le recourant, tout comme le projet de plainte non daté adressé au Ministère public genevois annexé à celle-ci – à supposer qu'il puisse valoir plainte pénale. Bien qu'invité par le Procureur général à réparer ce vice, l'intéressé n'y a pas donné suite dans le délai prolongé imparti, ce qu'il admet du reste. Partant, la plainte pénale n'étant pas valable, la décision du Ministère public de ne pas entrer en matière était fondée. À relever que la question d'une ratification de la plainte par le co-curateur du plaignant ne se posait pas, M e J______, précédemment nommé à cette fonction aux fins de représenter A______ dans les procédures judiciaires et extra-judiciaires liées aux biens immobiliers dont l'intéressé était propriétaire, ayant été libéré de cette mission à compter du 21 février 2023. À titre superfétatoire, on constatera, à l'instar du Ministère public, qu'il n'appartenait pas à cette autorité d'extraire de la documentation fournie par A______ les éléments lui permettant de comprendre les reproches pénaux formulés à l'endroit des mis en cause.</w:t>
      </w:r>
    </w:p>
    <w:p>
      <w:r>
        <w:rPr>
          <w:b/>
        </w:rPr>
        <w:t>E. 4</w:t>
      </w:r>
    </w:p>
    <w:p>
      <w:r>
        <w:t>Justifiée, l'ordonnance querellée sera donc confirmée.</w:t>
      </w:r>
    </w:p>
    <w:p>
      <w:r>
        <w:rPr>
          <w:b/>
        </w:rPr>
        <w:t>E. 5</w:t>
      </w:r>
    </w:p>
    <w:p>
      <w:r>
        <w:t>Le recourant,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