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P/8276/2017 vom 1. November 2023</w:t>
      </w:r>
    </w:p>
    <w:p>
      <w:r>
        <w:t>GE Cour de justice, 2023-11-01, FR</w:t>
      </w:r>
    </w:p>
    <w:p>
      <w:r>
        <w:rPr>
          <w:b/>
        </w:rPr>
        <w:t xml:space="preserve">Quelle: </w:t>
      </w:r>
      <w:r>
        <w:t>https://mcp.opencaselaw.ch/entscheid/ge_gerichte_P_8276_2017</w:t>
      </w:r>
    </w:p>
    <w:p>
      <w:r>
        <w:t>FR: GE_GERICHTE P/8276/2017 du 1 novembre 2023</w:t>
      </w:r>
    </w:p>
    <w:p>
      <w:r>
        <w:t>IT: GE_GERICHTE P/8276/2017 del 1 novembre 2023</w:t>
      </w:r>
    </w:p>
    <w:p>
      <w:pPr>
        <w:pStyle w:val="Heading2"/>
      </w:pPr>
      <w:r>
        <w:t>Regeste</w:t>
      </w:r>
    </w:p>
    <w:p>
      <w:r>
        <w:t>CP.146</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2.2</w:t>
      </w:r>
    </w:p>
    <w:p>
      <w:r>
        <w:t>L'art. 141 CPP ne trouve pas directement application aux éléments de preuve introduits à la procédure par une partie (ATF 147 IV 16 consid. 1.1 et 1.2 ; 147 IV 9 consid. 1.3.1). En présence de la surveillance d'un assuré par son assurance privée, les art. 43a et 43b de la loi fédérale sur la partie générale du droit des assurances sociales ne trouvent pas application, ces normes étant réservées aux assureurs agissant en tant qu'autorités étatiques. La légalité de la surveillance d'un assuré par une assurance privée doit donc être analysée à l'aune de l'art. 28 du Code civil et des art. 12 et 13 de l'ancienne loi fédérale sur la protection des données de 1992, dès lors que le droit de l'assuré à la vie privée entre en conflit avec l'intérêt d'une assurance à démasquer les fraudeurs, respectivement à ne pas prester à tort ; dans la mise en œuvre de cette balance des intérêts, le juge doit en particulier prendre en compte l'éventuel devoir de collaboration de l'assuré à la clarification de la situation (1), l'importance de la prestation d'assurance en cause (2), l'intensité de l'atteinte à la sphère privée de l'assuré au vu notamment du lieu de l'observation, de son contenu et de sa durée (3) et enfin l'adéquation et la nécessité des moyens de surveillance engagés par l'assureur (4) (ATF 136 III 410 consid. 2.2.1, 4.1 et 4.1.3). La légalité de l'atteinte au droit à la vie privée de l'observé en droit civil est déterminante pour la licéité de la preuve sur le plan pénal (ATF 147 IV 16 consid. 5).</w:t>
      </w:r>
    </w:p>
    <w:p>
      <w:r>
        <w:rPr>
          <w:b/>
        </w:rPr>
        <w:t>E. 3</w:t>
      </w:r>
    </w:p>
    <w:p>
      <w:r>
        <w:t>3.1. Selon l'art. 146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Sur le plan objectif, l'infraction d'escroquerie suppose ainsi que l'auteur ait eu un comportement astucieusement trompeur (1), qu'une personne (la dupe) ait, de ce fait, été induite en erreur ou confortée dans une erreur préexistante (2) et enfin que cette erreur ait eu pour conséquence que la dupe elle-même ou un tiers ait subi un préjudice patrimonial (3) (en ce sens : ATF 128 IV 255 consid. 2e/aa ; 119 IV 210 consid. 3 ; 118 IV 35 consid. 2). S'agissant, en premier lieu, du comportement trompeur, il est constitué par un comportement qui vise à donner à autrui une perception incorrecte d'un fait qu'il est possible d'établir avec une certitude suffisante (ATF 147 IV 73 consid. 3.1 ; 143 IV 302 consid. 1.2 ; 140 IV 11 consid. 2.3.2 ; 135 IV 76 consid. 5.1). Comme mentionné par la lettre de l'art. 146, ce comportement trompeur peut se présenter sous la forme d'affirmations fallacieuses, de dissimulation de faits vrais ou encore de l'exploitation d'une erreur préexistante de la dupe. Pour qu'il y ait escroquerie, une simple tromperie ne suffit toutefois pas, il faut qu'elle soit astucieuse. La dupe doit ainsi avoir fait preuve un minimum raisonnable d'attention sans qu'il soit nécessaire qu'elle ait recouru à toutes les mesures possibles pour éviter d'être trompée, son caractère inexpérimenté et son éventuelle faiblesse devant être pris en considération ; il y a tromperie astucieuse lorsque l'auteur recourt à un édifice de mensonges, à des manœuvres frauduleuses ou à une mise en scène, mais aussi lorsqu'il donne simplement de fausses informations, si leur vérification n'est pas possible ou ne peut raisonnablement être exigée, ou encore si l'auteur dissuade la dupe de procéder à une vérification ou prévoit, en fonction des circonstances, qu'elle renoncera à le faire en raison d'un rapport de confiance particulier (ATF 147 IV 73 consid. 3.2 ; 143 IV 302 consid. 1.3 et 1.3.3 ; 142 IV 153 consid. 2.2.2 ; 135 IV 76 consid. 5.2 ; arrêt du Tribunal fédéral 6B_219/2021 du 19 avril 2023 consid. 4.2 [considérant non-publié à l'ATF 149 IV 248 ]). Une fausse déclaration de sinistre à une assurance privée constitue en principe une tromperie astucieuse (ATF 143 IV 302 consid. 1.3.4 ; arrêt du Tribunal fédéral 6B_725/2017 du 4 avril 2018 consid. 2.3.2). En deuxième lieu, la tromperie astucieuse doit être la cause d'une erreur chez la dupe en ce sens que celle-ci doit être partie du principe que l'état de fait présenté par l'auteur était correct (ATF 118 IV 35 consid. 2c ; arrêts du Tribunal fédéral 6B_219/2021 du 19 avril 2023 consid. 4.2 ; 6B_570/2018 du 20 septembre 2018 consid. 3.1 ; 6B_1231/2016 du 22 juin 2017 consid. 7.3). En troisième et dernier lieu, l'erreur dans laquelle la tromperie astucieuse a mis ou conforté la dupe doit avoir déterminé celle-ci à accomplir un acte préjudiciable à ses intérêts pécuniaires ou à ceux d'un tiers (ATF 147 IV 73 consid. 6.1 ; 133 IV 171 consid. 4.3 ; 128 IV 255 consid. 2e/aa). Ce qui est déterminant c'est qu'une valeur économique réalisable en argent voie sa valeur diminuer (ATF 147 IV 73 consid. 6.1 et 6.2 ; arrêt du Tribunal fédéral 6B_1149/2020 du 17 avril 2023 consid. 5.2.5). Un dommage temporaire est suffisant (arrêts du Tribunal fédéral arrêts du Tribunal fédéral 6B_219/2021 du 19 avril 2023 consid. 4.2 ; 6B_645/2021 du 28 mars 2022 consid. 3.1 ; 6B_1354/2020 du 1 er juin 2022 consid. 2.1.2 et 3.4). L'enrichissement de l'auteur doit provenir directement du patrimoine du lésé, soit correspondre directement au dommage causé par sa manipulation astucieuse (ATF 134 IV 210 consid. 5.3). Sur le plan subjectif, l'escroquerie est une infraction intentionnelle, l'intention devant porter sur tous les éléments constitutifs objectifs de l'infraction (arrêts du Tribunal fédéral 6B_1185/2022 du 30 juin 2023 consid. 3.1.4 ; 6B_697/2022 du 21 juin 2023 consid. 2.1.5). L'auteur doit en outre avoir agi dans le dessein de se procurer ou de procurer à un tiers un enrichissement illégitime, correspondant au dommage de la dupe (arrêts du Tribunal fédéral 6B_1185/2022 du 30 juin 2023 consid. 3.1.4 ; 6B_697/2022 du 21 juin 2023 consid. 2.1.5 ; 6B_372/2022 du 1 er mars 2023 consid. 1.2.2). Le dessein d'enrichissement illégitime doit être admis lorsque l'enrichissement de l'auteur entraine immédiatement le dommage subi par le lésé (ATF 119 IV 210 consid. 4b ; arrêts du Tribunal fédéral 6B_631/2022 du 2 mars 2023 consid. 3.1.2 ; 6B_132/2021 du 19 octobre 2021 consid. 2.1.2).</w:t>
      </w:r>
    </w:p>
    <w:p>
      <w:r>
        <w:rPr>
          <w:b/>
        </w:rPr>
        <w:t>E. 3.2</w:t>
      </w:r>
    </w:p>
    <w:p>
      <w:r>
        <w:t>En l'espèce, il est d'une part encore reproché à l'appelant d'avoir, de concert avec P______, cherché à enrichir M______ SARL, en déclarant des sinistres relatifs à des relations de travail fictives concernant l'emploi de U______ et celui de T______, et, d'autre part, d'avoir, dans son propre cas, annoncé à D______ un emploi et une incapacité de travail fictifs. Ces deux accusations seront examinées successivement.</w:t>
      </w:r>
    </w:p>
    <w:p>
      <w:r>
        <w:rPr>
          <w:b/>
        </w:rPr>
        <w:t>E. 3.2.1</w:t>
      </w:r>
    </w:p>
    <w:p>
      <w:r>
        <w:t>À l'examen des éléments de preuve, il apparaît que tous les témoins ont confirmé la version de l'appelant selon laquelle le seul décideur en matière de personnel chez M______ SARL était P______, son fondateur et associé-gérant unique. S______, secrétaire de la société de janvier 2016 à avril 2017, a ainsi déclaré que c'était ce dernier qui l'avait recrutée, qu'elle avait négocié avec lui la réduction de son taux de travail, que c'était le seul à avoir accès aux comptes de la société et que les décisions de gestion étaient de son ressort exclusif. L'appelant tenait quant à lui un rôle d'interprète et de conseiller, étant entendu qu'il connaissait mieux le secteur de la construction genevois que le précité. Les témoins V______, W______ et X______ ont tous déclaré avoir été engagés par P______. Son neveu Y______ a dit avoir travaillé pour son oncle et ne connaître l'appelant que de vue. Par ailleurs, U______ et T______ ont également déclaré que leur engagement, peu importe le caractère fictif ou non de leur travail subséquent, avait été réalisé par P______ avec qui elles avaient des liens de parenté. Ces déclarations ont été corroborées par P______ lui-même qui a déclaré s'occuper des ressources humaines de l'entreprise avec l'aide de S______. Il a également confirmé être le seul à avoir accès aux compte de M______ SARL. Eu égard spécifiquement aux déclarations de sinistre à l'assurance intimée, c'était S______ qui s'en occupait sous sa supervision directe, ce qui a été confirmé par celle-ci en sa qualité de secrétaire de la société. Face à ces preuves concordantes, le seul élément qui plaide pour un rôle accru de l'appelant dans M______ SARL est le procès-verbal de ses déclarations lors d'un entretien dans les locaux genevois de D______ où il aurait affirmé qu'il était directeur de la société et bras droit de P______. Or, cette pièce a été rédigée par la partie plaignante intimée et elle se rapporte à un entretien réalisé hors cadre procédural, la loi fédérale sur la partie générale du droit des assurances sociales ne trouvant pas application, et en particulier sans respect des garanties prévues par l'art. 158 CPP et l'art. 6 par. 3 let. c CEDH, alors même que l'interrogé se retrouve questionné par une assurance dans un cadre choisi par celle-ci et sous la menace de voir ses prétentions rejetées ou suspendues. Il existe donc un risque élevé que les déclarations inscrites dans un tel document s'éloignent sensiblement de la réalité. Par conséquent, celui-ci dispose d'une force probante au mieux très limitée. Dans le cas d'espèce, son contenu ne rentre de surcroît pas frontalement en contradiction avec les déclarations faites par l'appelant aux autorités de poursuite, mais consacre uniquement une version renforcée de son rôle par rapport à ces dernières. Quant aux documents administratifs retrouvés dans sa voiture, qui constituent un élément essentiel de l'argumentation du TP, ils ne se rapportent pour l'essentiel pas à M______ SARL, qui est seule nommée au chiffre 1.2.2 de l'acte d'accusation, et sont donc pratiquement dénués de pertinence pour savoir si l'appelant a joué un rôle essentiel dans un schéma de fausses déclarations de sinistres mis en place au sein de cette société. Enfin, il faut mentionner que l'argumentation de l'autorité précédente retient tout d'abord qu'il est "établi que A______ était organe de fait de M______ au moment du dépôt des déclarations de maladie litigieuses." (jugement querellé, p. 47), puis qu' "au vu de ses éléments le Tribunal tient pour établi que l'activité de A______ pour le compte de M______ est fictive et qu'elle a uniquement servi à percevoir des indemnités journalières de D______ {…}" (jugement querellé, p. 50). Le TP ne semblait donc également plus être convaincu du statut d'organe de fait de l'appelant au moment où il a analysé son activité concrète auprès de M______ SARL. Au vu de ce qui précède, les fausses déclarations de sinistres concernant U______ et T______ ne peuvent être imputées à un comportement trompeur de l'appelant, de sorte qu'un élément objectivement essentiel de l'infraction d'escroquerie fait défaut. Il faut encore faire remarquer qu'un dessein d'enrichissement de l'appelant fait également défaut pour les déclarations de sinistre susmentionnées puisque c'est bien M______ SARL qui a perçu ou aurait dû percevoir des prestations de D______. Le lien fait par le MP et le TP entre l'encaissement de ces prestations par M______ SARL et l'intérêt médiat du précité à la perception de son salaire n'est pas conforme à la jurisprudence fédérale (cf. ATF 134 IV 210 consid. 5.3). Si l'appelant avait eu un comportement trompeur, c'est donc d'atteinte astucieuse aux intérêts pécuniaires d'autrui, au sens de l'art. 151 CP, qui aurait dû être retenue, plutôt que celle d'escroquerie.</w:t>
      </w:r>
    </w:p>
    <w:p>
      <w:r>
        <w:rPr>
          <w:b/>
        </w:rPr>
        <w:t>E. 3.2.2</w:t>
      </w:r>
    </w:p>
    <w:p>
      <w:r>
        <w:t>En ce qui concerne la déclaration de sinistre du 22 juillet 2016 relative à l'appelant lui-même, la question essentielle et celle de savoir si son incapacité de travail était fictive, soit si ladite déclaration concernait un fait faux et que l'assurance a été de ce fait induite en erreur. Sur ce plan, l'accusation repose principalement sur le rapport d'observation de l'appelant par un détective sur la période du 7 février au 2 mars 2017. Contrairement à ce qu'a retenu l'autorité précédente, on ne saurait d'emblée retenir que cette surveillance était illégale, même si le fait que l'assurance intimée n'ait pas fait usage dans un premier temps d'une mesure moins incisive, comme une visite obligatoire chez un orthopédiste, interpelle. La question souffre toutefois de rester ouverte. En effet, la télécopie du 22 décembre 2016 du Dr AC______ mentionne clairement que l'appelant était en incapacité complète de travail depuis le 5 juillet 2016 en lien avec des douleurs au genou gauche, ce qu'il a d'ailleurs confirmé lors de son audition par la police. En outre, le rapport IRM du 2 novembre 2018 évoque une chondropathie touchant les trois-quarts de l'épaisseur du cartilage de la facette interne du genou gauche de l'appelant. Selon la littérature médicale, il s'agit là en principe d'une chondropathie de grade trois sur quatre (E. CAVAIGNAC/J. MENETREY/ D. HANNOUCHE, Le point sur la prise en charge des lésions du cartilage articulaire du genou, in Revue médicale suisse n° 543, du 14 décembre 2016). Dans ces circonstances, seule l'observation d'un comportement de l'appelant attestant indubitablement d'une absence de toute limitation fonctionnelle pourrait suffire à établir à elle-seule un comportement trompeur avec le fardeau de la preuve stricte applicable en matière de culpabilité pénale. Or, tel n'est pas le cas du rapport d'observation susmentionné qui fait état de plusieurs visites sur des chantiers, incluant des discussions avec des ouvriers, et de réunions professionnelles à la terrasse d'un café, ce qui correspond peu ou prou aux déclarations de l'appelant et de P______, mais pas d'un travail manuel sur un chantier pendant plusieurs jours ou même plusieurs heures consécutives. Le fait que l'appelant ne présentait, de l'opinion du détective, aucune limitation fonctionnelle lors de ses déplacements, y compris sur des pentes ou des escaliers, pourrait très bien s'expliquer par la prise d'analgésiques ou d'une fluctuation des douleurs. De surcroît, un rapport d'observation privé réalisé à la demande d'une assurance directement intéressée à un résultat permettant de cesser de prester ne doit en principe se voir reconnaître qu'une force probante réduite au pénal. Dans le cas d'espèce, un tel rapport ne pouvait donc constituer qu'un indice justifiant l'examen de l'appelant par un médecin spécialiste, seul qualifié pour clarifier si celui-ci était totalement ou partiellement capable de travailler. L'opinion non-motivée d'un médecin-conseil de l'assurance réalisée sans examen du patient ne saurait remplacer une telle expertise. À teneur du dossier, aucune expertise orthopédique privée ou judiciaire du trouble au genou de l'appelant n'a toutefois été réalisée. On rappellera à cet égard qu'en droit social, un doute, même minime, sur la fiabilité des conclusions d'une expertise interne d'une assurance impose d'ordonner une expertise officielle en bonne et due forme (cf. ATF 145 V 97 consid. 8.5 ; 142 V 58 consid. 5.1). Il ne saurait en aller autrement en matière pénale où le degré de la preuve n'est pas la vraisemblance prépondérante, mais l'intime conviction. S'agissant du salaire brut assuré de l'appelant, il est mentionné dans la déclaration de sinistre qu'il était fixé à CHF 7'900.- pour 45 heures de travail hebdomadaire. Selon les déclarations du précité aux autorités de poursuite, son salaire était de CHF 7'800.- par mois. P______ a de son côté évoqué un salaire de CHF 8'000.- déclaré à l'assurance-chômage, soit un montant de CHF 8'000.- brut. Ces montants sont légèrement supérieurs à ceux mentionnés lors des entretiens exploratoires conduits par l'assurance intimée. Pour autant qu'on puisse octroyer à ceux-ci une certaine force probante, ce qui, comme il a été mentionné plus haut, est sujet à caution, il s'agit là de différences qui peuvent s'expliquer par la prise en compte ou non de forfaits repas ou déplacements, communs dans le domaine de la construction (cf. art. 23 de la Convention collective de travail du second-œuvre romand de 2019 ; https://www.ge.ch/document/cct-batiment-second-œuvre) ou par des imprécisions relatives à la notion de salaire brut ou net. L'appelant a ainsi évoqué un salaire "brut" de CHF 6'900.- payé de main à main, alors que par définition, seul le salaire net d'un employé lui est effectivement versé. Quant à l'argumentation de l'autorité précédente selon laquelle un salaire brut de CHF 6'900.- par mois ne serait pas réaliste, il ressort des données de l'Office fédéral de la statistique (OFS) que le salaire brut moyen standardisé à 40 heures hebdomadaires dans le secteur de la construction pour la région lémanique s'élevait à CHF 6'189.- en 2016 (Tableau de l'OFS : salaire mensuel brut selon les branches économiques et les grandes régions - Secteur privé [TA1_GR]). Selon les statistiques par niveau de compétence et secteur économique, le salaire brut moyen standardisé à 40 heures hebdomadaires en Suisse pour un travail de niveau 2 (employé expérimenté sans diplôme et sans fonction de cadre) pour un homme dans le domaine de la construction était de CHF 5'911.- en 2016 (Tableau de l'OFS : Salaire mensuel brut selon les branches économiques, le niveau de compétences et le sexe - Secteur privé [TA1_skill-level]). Contrairement à ce qu'a affirmé le TP, le fait que l'appelant ait perçu un salaire de 7'900.- pour 45 heures de travail hebdomadaire, ce qui correspond à CHF 7'022.22 pour 40 heures de travail, est ainsi loin d'être invraisemblable. Enfin, le seul fait que ce salaire n'ait pas été déclaré correctement aux assurances sociales ne saurait constituer une preuve d'une tromperie d'un employé, en particulier dans les domaines, comme celui de la construction, où les sous-déclarations de salaires par les employeurs sont notoirement plus fréquentes que la moyenne. La Chambre de céans n'est ainsi pas intimement convaincue que le salaire de CHF 7'900.- pour 45 heures de travail mentionné dans la déclaration de sinistre rédigée par S______ était erroné. Au vu de ce qui précède, il ne peut être établi avec une certitude suffisante que la déclaration de sinistre du 22 juillet 2016 était mensongère quant à l'existence d'une incapacité de travail de l'appelant ou au montant de son salaire, l'hypothèse inverse étant au moins aussi probable. Les éléments constitutifs de comportement trompeur et d'erreur chez la dupe font donc défaut.</w:t>
      </w:r>
    </w:p>
    <w:p>
      <w:r>
        <w:rPr>
          <w:b/>
        </w:rPr>
        <w:t>E. 3.2.3</w:t>
      </w:r>
    </w:p>
    <w:p>
      <w:r>
        <w:t>En conclusion, les éléments constitutifs de l'infraction d'escroquerie ne sont remplis ni en ce qui concerne les déclarations de sinistre relatives à U______ et T______, ni eu égard à celle concernant personnellement l'appelant. Il s'ensuit que l'appel est fondé et que celui-là sera acquitté de l'ensemble des charges portées à son encontre.</w:t>
      </w:r>
    </w:p>
    <w:p>
      <w:r>
        <w:rPr>
          <w:b/>
        </w:rPr>
        <w:t>E. 4.1</w:t>
      </w:r>
    </w:p>
    <w:p>
      <w:r>
        <w:t>Selon l'art. 126 al. 1 let. b CPP, le tribunal statue également sur les conclusions civiles présentées lorsqu'il acquitte le prévenu et que l'état de fait est suffisamment établi. Il ne s'agit pas d'une possibilité mais d'une obligation (ATF 148 IV 432 consid. 3.1.1 ; 146 IV 211 consid. 3.1).</w:t>
      </w:r>
    </w:p>
    <w:p>
      <w:r>
        <w:rPr>
          <w:b/>
        </w:rPr>
        <w:t>E. 4.2</w:t>
      </w:r>
    </w:p>
    <w:p>
      <w:r>
        <w:t>Eu égard aux conclusions civiles de l'assurance intimée, il apparaît que le montant litigieux de CHF 42'387.- a été payé par D______ à M______ SARL. En absence d'infraction pénale, il n'existe aucun fondement juridique pour réclamer cette somme à l'appelant. L'état de fait est ainsi suffisamment clair pour permettre à la Chambre de céans de statuer au fond. Partant, l'action civile de l'assurance intimée envers l'appelant sera rejetée (art. 126 CPP).</w:t>
      </w:r>
    </w:p>
    <w:p>
      <w:r>
        <w:rPr>
          <w:b/>
        </w:rPr>
        <w:t>E. 5</w:t>
      </w:r>
    </w:p>
    <w:p>
      <w:r>
        <w:t>5.1.1. Si l'autorité pénale d'appel rend elle-même une nouvelle décision, elle se prononce d'office sur les frais fixés par l'autorité inférieure, selon l'art. 428 al. 3 CPP ( AARP/230/2023 du 26 juin 2023 consid. 4.1.1). S elon l'art. 427 al. 1 let. a CPP, les frais de procédure causés par les conclusions civiles de la partie plaignante peuvent être mis à la charge de celle-ci lorsque le prévenu est acquitté. Selon l'art. 427 al. 2 CPP, dont la lettre française est incorrecte (cf. ATF 147 IV 47 consid. 4.2.2), en cas d'infractions poursuivies sur plainte, les frais de procédure peuvent être mis à la charge de la partie plaignante si le prévenu est acquitté et qu'il n'est pas astreint au paiement des frais. 5.1.2.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Seul le résultat de la procédure d'appel elle-même est déterminant (ATF 142 IV 163 consid. 3.2.1). 5.2.1. En ce qui concerne les frais de la procédure préliminaire et de première instance, qui se montent à CHF 2'689.67, ils ne peuvent être mis à la charge des parties plaignantes sur la base de l'art. 427 al. 2 CPP dès lors que l'infraction d'escroquerie simple est punie d'office. Les conclusions civiles de l'assurance intimée n'ont pas engendré de travail supplémentaire dans le cadre de l'instruction pénale autrement que de manière tout à fait accessoire. Il n'apparaît donc pas justifié de lui faire supporter des frais à ce titre. Il s'ensuit que l'ensemble des frais relatifs à la procédure préliminaire et de première instance imputés à l'appelant, soit CHF 2'689.67, sera laissé à la charge de l'État. 5.2.2. Eu égard à la procédure d'appel, les parties plaignantes qui succombent n'y ont participé que marginalement. L'appel ayant été admis, il ne sera ainsi pas perçu de frais (art. 428 CPP a contrario).</w:t>
      </w:r>
    </w:p>
    <w:p>
      <w:r>
        <w:rPr>
          <w:b/>
        </w:rPr>
        <w:t>E. 6</w:t>
      </w:r>
    </w:p>
    <w:p>
      <w:r>
        <w:t>Vu l'acquittement complet de l'appelant, les parties plaignantes intimées seront déboutées de toute prétention en indemnité à son encontre.</w:t>
      </w:r>
    </w:p>
    <w:p>
      <w:r>
        <w:rPr>
          <w:b/>
        </w:rPr>
        <w:t>E. 7.1</w:t>
      </w:r>
    </w:p>
    <w:p>
      <w:r>
        <w:t>Il y a détention excessive, au sens des art. 429 al. 1 let. c CPP,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seule la durée de celle-ci étant ainsi injustifiée ; la détention ne sera qualifiée d'excessive qu'après le prononcé du jugement (arrêts du Tribunal fédéral 6B_1160/2022 [destiné à la publication aux ATF] du 1 er mai 2023 consid. 2.1.1 ; 6B_1090/2020 du 1 er avril 2021 consid. 2.3.1). S'agissant spécifiquement d'une détention excessive, un montant journalier de CHF 200.- par jour en cas de détention injustifiée de courte durée constitue une indemnité appropriée, dans la mesure où il n'existe pas de circonstances particulières qui pourraient fonder le versement d'un montant inférieur ou supérieur ; ce taux journalier n'est toutefois qu'un critère qui permet de déterminer un ordre de grandeur pour le tort moral, il convient ensuite de corriger ce montant compte tenu des particularités du cas (durée de la détention, retentissement de la procédure sur l'environnement de la personne concernée, gravité des faits reprochés, etc.) (ATF 146 IV 231 consid. 2.3.2 ; 143 IV 339 consid. 3.1 ; arrêt du Tribunal fédéral 6B_1160/2022 [d.p.] du 1 er mai 2023 consid. 2.1.2). L'indemnisation des mesures de substitution à la détention, au sens de l'art. 237 CPP, qui se révèlent excessives au prononcé du jugement suit en principe les mêmes règles que celles relatives à la détention (en ce sens : AARP/161/2022 du 25 mai 2022 consid. 2.2.5.3). Il convient toutefois de tenir compte du caractère bien plus restreint de l'atteinte à la liberté d'une telle mesure, en particulier s'agissant d'une interdiction de contact avec des personnes qui ne sont pas des proches du prévenu ou d'une obligation hebdomadaire de pointer à un poste de police, en comparaison avec celle engendrée par une détention (arrêts du Tribunal fédéral 6B_990/2020 du 26 novembre 2021 consid. 2.5.1 ; 6B_147/2021 du 29 septembre 2021 ; 6B_772/2020 du 8 décembre 2020 consid. 3.3).</w:t>
      </w:r>
    </w:p>
    <w:p>
      <w:r>
        <w:rPr>
          <w:b/>
        </w:rPr>
        <w:t>E. 7.2</w:t>
      </w:r>
    </w:p>
    <w:p>
      <w:r>
        <w:t>Dans le cadre de la procédure, A______ s'est trouvé en détention avant jugement du 6 mars 2018 à 11h00 au 4 avril 2018 à 10h00, soit 30 jours au total. Il a en outre été contraint de se présenter une fois par semaine au poste de police de AE______ à Genève et interdit de prendre contact avec P______ ou d'autres personnes impliquées dans la procédure jusqu'au 25 septembre 2019 inclus, soit pendant 539 jours (ou 77 semaines). Les trente jours de détention subis par l'appelant doivent être indemnisés au tarif usuel de CHF 200.- par jour en l'absence de circonstances particulières qui justifieraient que la Chambre de céans s'écarte de cette ligne directrice. L'État sera donc condamné à lui verser la somme de CHF 6'000.- (30 x 200) avec intérêts à 5% l'an dès le 21 mars 2018 (date moyenne). Les mesures de substitutions doivent être qualifiées de restrictions légères (pour l'obligation de pointer à la police une fois par semaine) à très légères (pour l'interdiction de contact avec des tiers qui ne sont pas des proches) à sa liberté, de sorte qu'elles ne fondent en principe pas d'indemnité pour tort moral. Vu la longue durée pendant laquelle la première mesure a été en place, il convient néanmoins de l'indemniser en retenant un montant de CHF 10.- pour chaque visite obligatoire, soit une somme totale de CHF 770.- (77 x 10). Ce montant portera intérêts de 5% l'an dès le 30 décembre 2018 (date moyenne). En conclusion, l'appelant sera indemnisé à hauteur de CHF 6'000.-, avec intérêts de 5% l'an dès le 21 mars 2018, et de CHF 770.-, avec intérêts de 5% l'an dès le 30 décembre 2018, en lien avec la restriction excessive à sa liberté subie pendant la procédure préliminaire. Le bien-fondé de ses conclusions doit ainsi être admis dans cette mesure.</w:t>
      </w:r>
    </w:p>
    <w:p>
      <w:r>
        <w:rPr>
          <w:b/>
        </w:rPr>
        <w:t>E. 8</w:t>
      </w:r>
    </w:p>
    <w:p>
      <w:r>
        <w:t>8.1. Selon l'art. 135 al. 1 CPP, le défenseur d'office est indemnisé conformément au tarif des avocats du canton du for du procès. À Genève, l'art. 16 al. 1 du règlement sur l'assistance juridique et l'indemnisation des conseils juridiques et défenseurs d'office en matière civile, administrative et pénale (RAJ) prescrit que le tarif horaire est de CHF 200.- pour un avocat chef d'étude et de CHF 150.- pour un avocat collaborateur.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consid. 3.1.1 [considérant non-publié à l'ATF 149 IV 91 ]). L'activité consacrée aux conférences, audiences et autres actes de la procédure est majorée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AARP/255/2023 du 24 juillet 2023 consid. 12.1 ; AARP/207/2023 du 21 juin 2023 consid. 9.1). Le temps de déplacement de l'avocat est considéré comme nécessaire pour la défense d'office au sens de l'art. 135 CPP ; la rémunération forfaitaire de la vacation aller/retour au et du Palais de justice est arrêtée à CHF 100.- pour un chef d'étude ( AARP/207/2023 du 21 juin 2023 consid. 9.1 ; AARP/191/2023 du 8 juin 2023 consid. 8.1 ; AARP/319/2022 du 13 octobre 2022 consid. 7.2).</w:t>
      </w:r>
    </w:p>
    <w:p>
      <w:r>
        <w:rPr>
          <w:b/>
        </w:rPr>
        <w:t>E. 8.2</w:t>
      </w:r>
    </w:p>
    <w:p>
      <w:r>
        <w:t>En l'occurrence, M e C______, défenseur d'office de A______, requiert l'indemnisation de 780 minutes d'activité de collaborateur (13 heures). À l'aune de la complexité moyenne de la cause et la pertinence des arguments soulevés par la défense, cette durée totale apparaît adéquate. L'indemnisation à ce titre sera donc fixée à CHF 1'950.- (13 x 150). Il convient encore de rajouter à ce montant les deux heures qu'a duré l'audience d'appel, soit CHF 400.- (200 x 2). En conclusion, la rémunération de M e C______ pour la procédure d'appel sera arrêtée à CHF 2'891.75 correspondant à 11 heures et 30 minutes d'activité (CHF 1'950.- + CHF 400.-), plus la majoration forfaitaire de 10% (CHF 235.-), le déplacement au Palais (CHF 100.-) et l'équivalent de la TVA au taux de 7.7% (CHF 206.75).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