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P/8274/2023 vom 14. Februar 2024</w:t>
      </w:r>
    </w:p>
    <w:p>
      <w:r>
        <w:t>GE Cour de justice, 2024-02-14, FR</w:t>
      </w:r>
    </w:p>
    <w:p>
      <w:r>
        <w:rPr>
          <w:b/>
        </w:rPr>
        <w:t xml:space="preserve">Quelle: </w:t>
      </w:r>
      <w:r>
        <w:t>https://mcp.opencaselaw.ch/entscheid/ge_gerichte_P_8274_2023</w:t>
      </w:r>
    </w:p>
    <w:p>
      <w:r>
        <w:t>FR: GE_GERICHTE P/8274/2023 du 14 février 2024</w:t>
      </w:r>
    </w:p>
    <w:p>
      <w:r>
        <w:t>IT: GE_GERICHTE P/8274/2023 del 14 febbraio 2024</w:t>
      </w:r>
    </w:p>
    <w:p>
      <w:pPr>
        <w:pStyle w:val="Heading2"/>
      </w:pPr>
      <w:r>
        <w:t>Regeste</w:t>
      </w:r>
    </w:p>
    <w:p>
      <w:r>
        <w:t>CONSULTATION DU DOSSIER;MESURE DE PROTECTION | CPP.149.al2.lete</w:t>
      </w:r>
    </w:p>
    <w:p>
      <w:pPr>
        <w:pStyle w:val="Heading2"/>
      </w:pPr>
      <w:r>
        <w:t>Erwägungen</w:t>
      </w:r>
    </w:p>
    <w:p>
      <w:r>
        <w:rPr>
          <w:b/>
        </w:rPr>
        <w:t>E. 1</w:t>
      </w:r>
    </w:p>
    <w:p>
      <w:r>
        <w:t>Le recours est recevable pour avoir été déposé selon la forme et dans le délai prescrits (art. 90 al. 2, 384 let. a, 385 al. 1 et 396 al. 1 CPP), concerner une décision sujette à recours auprès de la Chambre de céans (art. 393 al. 1 let. a CPP ; Y. JEANNERET / A. KUHN / C. PERRIER DEPEURSINGE (éds), Commentaire romand : Code de procédure pénale suisse,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estime que son adresse devrait être, cumulativement si on la comprend bien, soustraite à la consultation par le prévenu et caviardée.![endif]&gt;![if&gt;</w:t>
      </w:r>
    </w:p>
    <w:p>
      <w:r>
        <w:rPr>
          <w:b/>
        </w:rPr>
        <w:t>E. 3.1</w:t>
      </w:r>
    </w:p>
    <w:p>
      <w:r>
        <w:t>L'art.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notamment lorsque cela est nécessaire pour assurer la sécurité de personnes ou pour protéger des intérêts publics ou privés au maintien du secret (art. 108 al. 1 let. b CPP ; op. cit. , n. 4 ad art. 108). ![endif]&gt;![if&gt;</w:t>
      </w:r>
    </w:p>
    <w:p>
      <w:r>
        <w:rPr>
          <w:b/>
        </w:rPr>
        <w:t>E. 3.2</w:t>
      </w:r>
    </w:p>
    <w:p>
      <w:r>
        <w:t>L'art. 149 al. 1 CPP, qui prévaut sur la règle générale prévue à l'art. 108 al. 1 let. b CPP, prévoit plus spécifiquement que, s'il y a lieu de craindre qu'une personne appelée à donner des renseignements – qui est le statut sous lequel dépose la partie plaignante (art. 178 let. a CPP) – puisse, en raison de sa participation à la procédure, être exposé à un danger sérieux menaçant sa vie ou son intégrité corporelle ou à un autre inconvénient grave, la direction de la procédure prend, sur demande ou d'office, les mesures de protection appropriées. Dans ce cadre, elle peut notamment assurer l'anonymat de la personne à protéger (art. 149 al. 2 let. a CPP) et limiter le droit de consulter le dossier (art. 149 al. 2 let. e CPP). L'existence d'un danger sérieux pour la vie ou l'intégrité corporelle sera admise lorsque des menaces de mort ont été proférées à l'encontre de la personne concernée ou doivent être sérieusement redoutées (L. MOREILLON / A. PAREIN-REYMOND, Petit commentaire du CPP , Bâle 2016, n. 3 ad art. 149). Une simple hypothèse, même théoriquement ou abstraitement plausible, ne suffit pas. Il doit exister des indices concrets. Ainsi, la peur purement subjective de menaces est insuffisante (Y. JEANNERET / A. KUHN / C. PERRIER DEPEURSINGE (éds), op. cit. , n. 9 et 11 ad art. 149). L'inconvénient majeur doit être d'un niveau comparable au risque pour la vie et l'intégrité corporelle (P. GOLDSCHMID / T. MAURER / J. SOLLBERGER (éds), Kommentierte Textausgabe zur Schweizerischen Strafprozessordnung , Berne 2008, p. 160; voir ACPR/595/2018 du 17 octobre 2018 consid. 5.1. pour la protection d’un témoin). Les autres dangers que ceux menaçant la vie ou l'intégrité corporelle ne peuvent donc être pris en considération que s'ils représentent un cas d'exposition grave (Y. JEANNERET / A. KUHN / C. PERRIER DEPEURSINGE (éds), op. cit. , n. 12 ad art. 149). Il y a notamment menace d'un tel inconvénient lorsque quelqu'un doit s'attendre à un dommage matériel important, par exemple la destruction au moyen d'explosifs de sa maison de vacances. Des indices sérieux d'une menace concrète sont exigés (ATF 139 IV 265 consid. 4.2 p. 267 s.). Des simples pressions psychologiques, d'éventuels désagréments sur le plan personnel ou financier, de possibles tentatives d'intimidation ou une probable réaction haineuse du prévenu à l'encontre de la personne entendue à charge ne sont pas suffisants. Tel pourrait en revanche être le cas du danger de perdre le droit de garde sur un enfant, la menace d'une atteinte à l'intégrité sexuelle, le risque d'une atteinte grave à l'avenir professionnel susceptible de provoquer un gain manqué considérable, voire une perte durable des moyens de subsistance ou la menace d'une atteinte grave à la réputation professionnelle (arrêt du Tribunal fédéral 1B_447/2015 du 25 avril 2016 consid. 3.1).</w:t>
      </w:r>
    </w:p>
    <w:p>
      <w:r>
        <w:rPr>
          <w:b/>
        </w:rPr>
        <w:t>E. 3.3</w:t>
      </w:r>
    </w:p>
    <w:p>
      <w:r>
        <w:t>En l'espèce, la question n’est pas de savoir s’il faut anonymiser l’identité de la recourante, que le prévenu connaît forcément, mais si des mesures de protection, telles qu’une restriction du droit de consulter le dossier, doivent être ordonnées contre celui-ci. ![endif]&gt;![if&gt; En premier lieu, la recourante n’a jamais allégué subir de « harcèlement » de la part du prévenu avant de se plaindre de trois messages reçus sur son téléphone portable, en automne 2023. Un « harcèlement » téléphonique, à le supposer établi par les trois messages mis en exergue dans le recours, n’est pas en lui-même un danger pour la vie et l’intégrité corporelle qui justifierait de caviarder une adresse ( sic ). D’autres moyens techniques qu’une occultation d’adresse (ou une restriction d’accès au dossier) étaient immédiatement à disposition de la recourante, puisqu’elle explique elle-même avoir immédiatement « bloqué » les numéros importuns. À lire les messages dont la recourante veut tirer argument (« Salut A______ comment ça va » ; « Bon ok c’était seulement un salut » ; « Salut une question. Sans déranger. Pourquoi ai-je reçu une convocation au tribunal maintenant après si longtemps. J’y serai. J’espère que tu vas bien »), on se convainc sans difficulté qu’aucun ne revêt de caractère menaçant, contrairement à ceux, verbaux et écrits, dont elle a fait état dans sa plainte pénale, huit mois plus tôt – et qui, contrairement à ceux de la fin d’année 2023 ont valu une mise en prévention formelle de l’intéressé –. Or, non seulement les messages plus anciens n’avaient pas conduit la recourante à redouter des passages à l’acte émanant du prévenu, mais aussi, voire surtout, ils ne l’ont pas empêchée – alors qu’elle était conseillée par avocat – de fournir – sans caviardage aucun de ce qui serait son adresse actuelle – toutes les pièces utiles pour appuyer sa demande d’assistance judiciaire. En d’autres termes, le caviardage qu’elle revendique aujourd’hui était à sa portée lorsqu’elle a réuni ces pièces. On ne voit pas en quoi les trois messages qu’elle a reçus postérieurement suffiraient à lui faire craindre un danger d’abus et d’atteinte à l’intégrité, si son adresse actuelle était accessible ou divulguée. On ne discerne même pas de curiosité au sujet de sa nouvelle adresse (ni non plus de sa situation financière). Ce risque n’apparaît, en tout cas, ni plus aigu ni plus concret aujourd’hui qu’il ne l’était lors du dépôt de la demande d’assistance judiciaire. Le prévenu, qui n’a pas demandé l’accès au dossier après sa mise en prévention, encourrait la détention provisoire si son comportement laissait présager un risque concret de passage à l’acte (cf. art. 221 al. 1 bis et 2 CPP), et ce, indépendamment de la connaissance de la nouvelle adresse de la recourante. Partant, la décision du Ministère public n'est pas critiquable et sera donc confirmée.</w:t>
      </w:r>
    </w:p>
    <w:p>
      <w:r>
        <w:rPr>
          <w:b/>
        </w:rPr>
        <w:t>E. 4</w:t>
      </w:r>
    </w:p>
    <w:p>
      <w:r>
        <w:t>Le recours est par conséquent rejeté.</w:t>
      </w:r>
    </w:p>
    <w:p>
      <w:r>
        <w:rPr>
          <w:b/>
        </w:rPr>
        <w:t>E. 5</w:t>
      </w:r>
    </w:p>
    <w:p>
      <w:r>
        <w:t>La recourante, qui succombe, supportera les frais envers l'État, arrêtés en totalité à CHF 800.-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