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P/8209/2018 vom 5. Februar 2020</w:t>
      </w:r>
    </w:p>
    <w:p>
      <w:r>
        <w:t>GE Cour de justice, 2020-02-05, FR</w:t>
      </w:r>
    </w:p>
    <w:p>
      <w:r>
        <w:rPr>
          <w:b/>
        </w:rPr>
        <w:t xml:space="preserve">Quelle: </w:t>
      </w:r>
      <w:r>
        <w:t>https://mcp.opencaselaw.ch/entscheid/ge_gerichte_P_8209_2018</w:t>
      </w:r>
    </w:p>
    <w:p>
      <w:r>
        <w:t>FR: GE_GERICHTE P/8209/2018 du 5 février 2020</w:t>
      </w:r>
    </w:p>
    <w:p>
      <w:r>
        <w:t>IT: GE_GERICHTE P/8209/2018 del 5 febbraio 2020</w:t>
      </w:r>
    </w:p>
    <w:p>
      <w:pPr>
        <w:pStyle w:val="Heading2"/>
      </w:pPr>
      <w:r>
        <w:t>Regeste</w:t>
      </w:r>
    </w:p>
    <w:p>
      <w:r>
        <w:t>LÉSION CORPORELLE SIMPLE;INFRACTIONS CONTRE L'HONNEUR;VIOLATION D'UNE OBLIGATION D'ENTRETIEN;INJURE;MENACE(DROIT PÉNAL);ACTION EN RÉPÉTITION DE L'INDU(LP);FIXATION DE LA PEINE;CONCOURS D'INFRACTIONS;PEINE PÉCUNIAIRE;DOMMAGE;TORT MORAL;INDEMNITÉ(EN GÉNÉRAL) | CP.123.al1; CP.123.al2.ch5; CP.174.al1; CP.180.al1.letb; CP.217.al1; CP.177.al1; CP.47; CP.49.al1; CP.49.al2; CP.34.al1; CPP.122.al1; CO.41; CO.47; CPP.433</w:t>
      </w:r>
    </w:p>
    <w:p>
      <w:pPr>
        <w:pStyle w:val="Heading2"/>
      </w:pPr>
      <w:r>
        <w:t>Erwägungen</w:t>
      </w:r>
    </w:p>
    <w:p>
      <w:r>
        <w:rPr>
          <w:b/>
        </w:rPr>
        <w:t>E. 1</w:t>
      </w:r>
    </w:p>
    <w:p>
      <w:r>
        <w:t>1.1.1.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 1.1.2. En l'occurrence, la condamnation de l'appelant du chef de calomnie envers E______ n'est pas remise en cause en appel, ni l'indemnité allouée en conséquence à cette dernière, lesquelles sont ainsi acquises. Il en va de même du classement ordonné s'agissant des voies de fait du 1 er juin 2014, en raison de la prescription. 1.2.1.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arrêts du Tribunal fédéral 6B_445/2016 , 6B_464/2016 , 6B_486/2016 , 6B_487/2016 , 6B_501/2016 du 5 juillet 2017 consid. 5.7.5). 1.2.2. L'appelant a requis les auditions de F______, de G______ et de H______. Or, il s'agit de témoins indirects des faits et on ne voit pas quels éléments essentiels supplémentaires ceux-ci seraient susceptibles d'apporter à la procédure déjà bien documentée. L'audition de G______ se justifie d'autant moins que celui-ci s'est déjà exprimé de manière "spontanée" au sujet de l'intimée, dans un courriel du 15 août 2019, adressé au conseil de l'appelant et versé à la procédure par celui-ci. Partant, ces réquisitions de preuves doivent être rejetées.</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w:t>
      </w:r>
    </w:p>
    <w:p>
      <w:r>
        <w:rPr>
          <w:b/>
        </w:rPr>
        <w:t>E. 2.1</w:t>
      </w:r>
    </w:p>
    <w:p>
      <w:r>
        <w:t>L'art. 123 ch. 1 CP réprime les lésions du corps humain ou de la santé qui ne peuvent être qualifiées de graves au sens de l'art. 122 CP. Cette disposition protège l'intégrité corporelle et la santé tant physique que psychique et implique une atteinte importante aux biens juridiques protégés.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La poursuite 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et art. 126 al. 2 let. c CP). 2.2.2.1. En l'espèce, il est établi et non contesté que l'appelant et l'intimée ont formé un couple à compter de 2012 et ont fait ménage commun jusqu'à l'été 2016, avant que l'intimée ne quitte la Suisse. Il est également constant que la relation des parties a été émaillée de disputes fréquentes, à tout le moins dès l'été 2014. Dans ce contexte, l'intimée a déclaré de manière constante et crédible avoir fait l'objet de violences physiques et psychiques de la part de l'appelant durant leur relation. En effet, ses allégations sont corroborées par différents éléments de preuves versés à la procédure, à commencer par les photos et courriels décrivant les faits qu'elle s'est envoyés à elle-même après la plupart des épisodes de violence reprochés, les messages consécutivement échangés avec l'appelant et son amie AD______, ainsi que le courriel de W______, soeur de l'appelant, du mardi 24 mai 2016, qu'aucun élément ne permet de remettre en doute. En particulier, les violences subies de la part de l'appelant en date des 30 novembre 2014, 30 décembre 2014, 7 novembre 2015, 12 janvier 2016 et 26 janvier 2016, que ce dernier conteste, sont établies par les photos prises par l'intimée à la suite de ces épisodes, lesquelles montrent des altérations visibles de son corps, dont la gravité va au-delà d'un trouble passager et sans importance du sentiment de bien-être. L'épisode du 26 janvier 2016 est en outre documenté par un message de l'intimée à l'appelant le même jour, dans lequel elle lui reproche expressément de l'avoir violemment frappé au visage. Elle s'en est également ouverte à son amie AD______, selon les messages produits. Enfin, l'appelant a été dormir à l'hôtel à la suite de cet épisode, ce qu'il faisait après les faits les plus violents, tel que l'a expliqué de manière plausible l'intimée. Quant aux violences des 21 février et 17 et 18 juillet 2016, dates auxquelles l'appelant reconnaît avoir perdu son sang-froid et s'en être pris physiquement à l'intimée, les photos et certificats médicaux des 21 février et 27 juillet 2016 font état d'atteintes visibles et non négligeables au corps de l'intimée, lui ayant occasionné au surplus des douleurs. Ces épisodes ont également donné suite à des échanges de messages entre les parties le 23 février 2016, desquels il ressort notamment que l'intimée se plaint de douleurs et d'avoir été sérieusement blessée au visage par l'appelant, au point que les gens la regardent dans la rue. De même le 18 juillet 2016, l'intimée se plaint de lésions importantes au nez, lui occasionnant notamment des maux de tête et des troubles de la vision. Ces lésions vont elles aussi manifestement au-delà d'une atteinte passagère au sentiment de bien-être. Si elles ne sont pas documentées par des photos, les violences du 21 mai 2016 le sont par un courriel de l'intimée, décrivant de manière probante que l'appelant l'avait frappée à cette date. Elle s'en est également ouverte à son amie AD______ le jour-même. La gravité des agissements de l'appelant lors de cet épisode et de leurs conséquences sont en outre documentées par le message de l'intimée à ce dernier le 23 mai 2016 et le courriel de W______ du mardi 24 mai 2016, laquelle se dit choquée par les évènements survenus le week-end précédent et juge inacceptable que son frère frappe l'intimée et que celle-ci ne réagisse pas davantage face à ces violences. Par ailleurs, une facture atteste que l'appelant est allé dormir à l'hôtel la nuit du 20 au 21 mai 2016, ce qui accrédite le fait qu'il devait s'agir d'un des épisodes les plus violents. Concernant en revanche l'épisode du 8 décembre 2015, si la CPAR ne doute pas du fait qu'une importante dispute soit survenue entre les parties et que l'appelant ait fait preuve d'agressivité envers l'intimée à cette occasion, au vu du courriel probant de cette dernière à ce sujet, celle-ci indique elle-même ne pas avoir subi de lésion significative. Cet épisode ne sera partant pas retenu à l'encontre de l'appelant. En conséquence, à l'exception de ce dernier épisode, l'appelant a bien infligé à plusieurs reprises des violences constitutives de lésions corporelles simples à l'intimée. 2.2.2.2. Face aux déclarations solides et documentées de l'intimée, les dénégations de l'appelant ne sont pas crédibles. Il a du reste admis s'en être pris physiquement à elle à certaines occasions, de façon à ce que cela ait pu lui causer des marques, tout en minimisant manifestement ses actes et leurs conséquences ou en tentant vainement de les justifier. Eu égard aux développements de l'appelant relatifs au type de coups précisément donnés à l'intimée, il importe finalement peu de le déterminer, les conséquences de ceux-ci, pour la plupart documentées par photos, permettant de les qualifier de lésions corporelles simples, tel que retenu supra . Contrairement à ce qu'il soutient, la lésion du 30 novembre 2014, une blessure ensanglantée, n'est pas compatible avec un simple " fendillement" dû au froid. Qu'on les qualifie de frottements ou de traces de strangulation, les rougeurs apparaissant sur les photographies relatives à l'épisode du 7 novembre 2015 sont constitutives de lésions corporelles simples. L'hypothèse d'une allergie ne trouve aucune assise dans le dossier, dès lors que l'intimée n'en a fait état que le 10 décembre 2015 et qu'un certificat médical établit qu'elle n'y est pas sujette. Dans la mesure où à la suite de l'épisode du 26 janvier 2016, l'appelant a répondu à l'intimée ne pas regretter de lui avoir donné de telles corrections, il ne saurait être suivi lorsqu'il plaide des lésions corporelles par négligence. L'appelant a admis avoir donné une gifle suffisamment forte à l'intimée le 21 février 2016, pour que cela laisse une trace sur son visage, ce qui exclut une qualification de voies de fait. Il ne saurait minimiser la portée de ses actes en prétendant que la peau de l'intimée, blanche, marquerait davantage. Un tel argument ne repose en effet sur aucun élément concret. L'hypothèse avancée par l'appelant d'un coup de tête " fortuit " la nuit du 17 au 18 juillet 2016 n'est pas plus crédible. Ses conséquences ont également excédé des voies de fait. Au surplus, la thèse de l'appelant selon laquelle l'intimée aurait monté un dossier fictif contre lui en employant d'anciennes photos est clairement contredite par la présence sur certaines photos, en arrière-plan, des effets de J______. Qui plus est, le précédent compagnon de l'intimée a réfuté l'existence de violences au cours de leur relation. Les photographies produites par l'appelant ne sont pas susceptibles de remettre en cause celles fournies par l'intimée pour documenter les violences subies, pas plus que les factures d'hôtel, qui n'excluent nullement que l'appelant se soit adonné à des violences physiques envers l'intimée avant de s'y rendre. Au contraire de ce que prétend l'appelant, la compilation de preuves par l'intimée tendait davantage à le préserver, en ce sens qu'elle a opté pour cette manière de faire afin d'éviter de dénoncer les faits à la police après chaque épisode et pour le cas où il lui arriverait quelque chose de grave. Elle conservait aussi l'espoir que leur vie de famille reprenne de façon sereine. L'intimée n'a d'ailleurs pas particulièrement cherché à charger l'appelant, admettant ne pas avoir de photos pour certains épisodes. La cupidité de l'intimée n'est pas prouvée, dès lors qu'il ressort des messages produits que celle-ci recherchait du travail, n'a pas hésité à mettre à profit ses économies et a grandement sollicité l'aide financière de ses parents. Son alcoolisme ne saurait être déduit d'évènements ponctuels. Quoi qu'il en soit, l'éventuelle pression financière exercée par l'intimée sur l'appelant, tout comme un éventuel problème lié à l'alcool, ne seraient pas susceptibles de justifier de telles violences. Il en irait de même d'éventuels propos racistes, étant rappelé qu'il n'y a pas de compensation des fautes en droit pénal (ATF 122 IV 17 consid. 2c/bb p. 24). Au surplus, aucun élément ne permet de retenir une situation de légitime défense vraisemblable, tel que le sous-entend l'appelant, notamment au vu de l'intensité et de la répétition de ses violences envers l'intimée. L'appelant a du reste essentiellement fait grief à l'intimée d'agressions "verbales" ou de comportements irrespectueux, sans lui imputer des atteintes à son intégrité physique. Au demeurant, le gabarit de l'appelant aurait pu et dû lui permettre, le cas échéant, de neutraliser l'intimée sans en venir aux coups. En définitive, il y a tout lieu de retenir que l'appelant a intentionnellement et régulièrement infligé des violences physiques et psychiques à l'intimée, constitutives de lésions corporelles simples, à tout le moins entre les 30 novembre 2014 et 18 juillet 2016, que les dissensions rencontrées dans leur relation ne sauraient excuser. Partant, un verdict de culpabilité du chef d'infraction à l'art. 123 ch. 1 et ch. 2 al. 5 CP doit être confirmé. 2.3.1. L'art. 174 ch. 1 CP réprime, au titre de calomnie, sur plainte,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Celui qui, en s'adressant à un tiers, accuse une personne ou jette sur elle le soupçon d'avoir commis un crime ou un délit intentionnel se rend en principe coupable d'une atteinte à l'honneur (ATF 118 IV 248 consid. 2b p. 250 s.).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(arrêts du Tribunal fédéral 6B_1100/2016 du 25 octobre 2017 consid. 3.4 ; 6B_1286/2016 du 15 août 2017 consid. 1.2).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Par ailleurs, cela suppose implicitement que le fait allégué fût objectivement faux. 2.3.2. Il est établi et non contesté que l'appelant est l'auteur du post [sur le réseau social] K______ litigieux du 31 juillet 2017. En tant qu'il accuse l'intimée d'un crime, soit celui d'avoir kidnappé un enfant, un tel écrit est constitutif d'une atteinte à son honneur. L'appelant connaissait manifestement la fausseté d'une telle allégation, dès lors que ses échanges de messages avec l'intimée démontrent qu'il avait accepté, voire encouragé, son départ à M______ [Norvège] avec J______, dont elle était seule détentrice de l'autorité parentale. Cela est également prouvé par le contenu de son courriel du 12 juillet 2017, où il exprime clairement que " faire croire " aux gens, au travers des réseaux sociaux, que sa fille a été kidnappée par sa vieille mère méchante et cupide ne sera pas difficile. Ses courriels subséquents des 1 er et 2 août 2017 prouvent que son souhait était avant tout d'amener l'opinion populaire à penser du mal de l'intimée, quitte à formuler des allégations qui ne sont pas sérieuses (" maintenant que le nom de C______ est glorieusement entré dans le monde de la honte, soyons sérieux 2 secondes "). Du reste, l'appelant a publié le post litigieux le 31 juillet 2017, soit avant la fin du délai au 8 août 2017 imparti dans son courriel du 12 juillet 2017 pour que l'intimée lui fasse une proposition pour voir sa fille, prouvant également par-là que tel n'était pas le but principal de sa démarche. A cela s'ajoute que l'appelant n'a pas remis en cause le fait que son écrit du 5 août 2017 sur le "mur" de la page K______ [de l'établissement] L______ dont la mère de l'intimée était la gérante, du même ordre que celui du 31 juillet 2017, puisqu'accusant la famille [C______] d'avoir " volé " sa fille, soit constitutif de calomnie. Au demeurant, l'appelant se contredit quand il explique que l'intimée lui avait interdit tout accès à sa fille, tout en admettant n'avoir entrepris aucune démarche en Norvège pour voir son enfant, alors qu'aucun élément ne permet de retenir qu'il n'était pas en mesure de le faire. Dans ces conditions, l'appelant a sciemment communiqué à des tiers des propos infondés et attentatoires à l'honneur de l'intimée. Aussi, les écrits précités sont bien constitutifs de calomnie envers l'intimée, de sorte que le verdict de culpabilité de ce chef doit également être confirmé. 2.4.1. Se rend coupable d'injure celui qui aura, par la parole, l'écriture, l'image, le geste ou par des voies de fait, attaqué autrui dans son honneur (art. 177 al. 1 CP). Le juge peut exempter le délinquant de toute peine si l'injurié a directement provoqué l'injure par une conduite répréhensible (art. 177 al. 2 CP). Cette infraction, subsidiaire à la diffamation (art. 173 CP) ou à la calomnie (art. 174 CP), réprime trois formes d'atteinte à l'honneur, soit : (1) un jugement de valeur offensant, (2) une injure formelle, (3) un fait attentatoire à l'honneur allégué en s'adressant au lésé (M. DUPUIS / L. MOREILLON / C. PIGUET / S. BERGER / M. MAZOU / V. RODIGARI [éds], Code pénal - Petit commentaire , 2 e éd., Bâle 2017, n. 9 ad art. 177).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Lorsqu'il s'agit d'une injure formelle, en l'absence de tout fait, la preuve libératoire est exclue. Si l'auteur sait que son allégation est fausse, il n'est pas autorisé à amener la preuve libératoire (M. DUPUIS et al. , op. cit. , n. 22 ad art. 177). L'infraction est intentionnelle.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et al. , op. cit. , n. 19-20 ad art. 177). 2.4.2. L'appelant ne conteste pas avoir formulé des invectives telles que " fuckin bitch ", " stupid little bitch " et " piece of shit " envers l'intimée, entre les 19 juillet et 19 octobre 2016. De tels mots sont blessants et méprisants, au-delà de ce qui est acceptable, et constituent ainsi des injures répréhensibles. Contrairement à ce que soutient l'appelant, les messages échangés avec l'intimée tendent davantage à démontrer qu'il était le premier à employer des injures envers elle que l'inverse. De plus, aucun élément ne permet de retenir le racisme reproché à l'intimée comme avéré. Si celle-ci a pu écrire à l'appelant " Go to Africa ", c'est bien parce que celui-ci lui avait écrit " Go to Israël " et des obscénités à propos des juifs au préalable, ce que l'appelant a omis de relever pour les besoins évidents de sa cause. AA______ a d'ailleurs reconnu ne pas avoir entendu de dénigrement de nature raciale de la part de l'intimée. Le verdict de culpabilité rendu du chef d'injure est également fondé. 2.5.1.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La loi n'exige pas que l'auteur envisage sérieusement d'exécuter sa menace, il suffit qu'il le fasse croire à sa victime, et peu importe que l'acte préjudiciable puisse effectivement survenir ou non. La menace peut prendre une forme orale ou écrite, mais aussi résulter d'un geste ou d'une allusion, ou encore être exprimée par actes concluants. Constitue notamment une menace le fait de faire le geste d'égorger sa victime (M. DUPUIS et al. , op. cit. , n. 7-8 ad art. 180). Les menaces de lésions corporelles graves ou de mort doivent être considérées comme des menaces graves au sens de l'art. 180 CP (arrêts du Tribunal fédéral 6B_787/2018 du 1 er octobre 2018 consid. 3.1 ; 6B_1428/2016 du 3 octobre 2017 consid. 2.1 et la référence). En second lieu, il faut que la victime ait été effectivement alarmée ou effrayée, peu importe que les menaces lui aient été rapportées de manière indirecte par un tiers. Elle doit craindre que le préjudice annoncé se réalise. Des propos, même vagues et allusifs, mais répétés dans un contexte déterminé peuvent être de nature à créer l'appréhension chez la personne à qui ils sont destinés et atteindre, pris globalement, la gravité d'une menace sanctionnée par la loi (arrêt du Tribunal fédéral 6B_229/2016 du 8 juin 2016 consid. 3.3). Dans le contexte d'un processus de harcèlement injurieux et répété, le Tribunal fédéral a confirmé que des termes tels que " qu'elle crève ", " que Dieu la punisse ", " que tout cela allait mal se terminer ", " qu'il allait payer pour le mal qu'il avait fait " pouvaient constituer une menace grave (arrêt du Tribunal fédéral 6B_1428/2016 du 3 octobre 2017 consid. 2.2.2). L'infraction est intentionnelle, le dol éventuel étant suffisant (arrêts du Tribunal fédéral 6B_578/2016 du 19 août 2016 consid. 2.1 ; 6B_871/2014 du 24 août 2015 consid. 2.2.2 ; 6B_820/2011 du 5 mars 2012 consid. 3). 2.5.2. L'appelant a admis qu'il lui était arrivé de menacer l'intimée lorsqu'il perdait la maîtrise de lui-même et avoir utilisé les termes incriminés, portant sur des menaces de mort. Il ne conteste pas le caractère objectivement menaçant de ses propos, ni le fait que les images envoyées à l'intimée étaient propres à effrayer, mais réfute le fait d'avoir concrètement voulu s'en prendre physiquement à elle et que celle-ci l'ait effectivement craint. Or, au vu de l'intensité et de la répétition des violences physiques infligées par l'appelant à l'intimée, tel que précédemment retenu, de telles menaces concernant l'intégrité corporelle, voire la vie de cette dernière, étaient objectivement de nature à l'alarmer et l'ont effectivement effrayée. En effet, l'intimée a indiqué de manière crédible avoir été très affectée et stressée par les menaces proférées par l'appelant, au point où elle n'osait même pas séjourner dans l'appartement qu'elle possède à I______ [VS]. Les certificats médicaux des 18, 21 et 23 février 2018 font par ailleurs état du stress conséquent et persistant ressenti par l'intimée du fait de la situation avec l'appelant. C'est du reste précisément en raison de la peur ressentie du fait des menaces de l'appelant que l'intimée n'a pas osé immédiatement porter plainte contre lui et a entrepris de compiler les preuves de ses violences par courriel, au cas où quelque chose de grave lui arriverait, peur partagée par la propre soeur de l'appelant. Dans ce contexte, l'appelant savait, à tout le moins par dol éventuel, que l'intimée serait effrayée, but qu'il recherchait manifestement et auquel il est effectivement parvenu. Ce faisant, l'appelant a réalisé tant les éléments constitutifs objectifs que subjectifs de l'infraction de menaces envers l'intimée. 2.6.1.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On ne peut reprocher à l'auteur d'avoir violé son obligation d'entretien que s'il avait les moyens de la remplir, ou aurait pu les avoir (ATF 121 IV 272 consid. 3c p. 277 ; arrêt du Tribunal fédéral 6B_739/2017 du 9 février 2018 consid. 2.1).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2.6.2.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L'intention délictuelle fait défaut (ATF 129 IV 238 consid. 3.1 p. 240). Aux termes de l'art. 21 CP, quiconque ne sait ni ne peut savoir au moment d'agir que son comportement est illicite n'agit pas de manière coupable. Le juge atténue la peine si l'erreur était évitable. L'auteur doit agir alors qu'il se croyait en droit de le faire. Il pense, à tort, que l'acte concret qu'il commet est conforme au droit (ATF 141 IV 336 consid. 2.4.3 p. 343 et les références ; ATF 138 IV 13 consid. 8.2 p. 27). Pour exclure l'erreur de droit, il suffit que l'auteur ait eu le sentiment de faire quelque chose de contraire à ce qui se doit ou qu'il eût dû avoir ce sentiment (ATF 104 IV 217 consid. 2 p. 218 ; arrêt du tribunal fédéral 6B_524/2016 du 13 février 2017 consid. 1.3.2). 2.6.3. Il est établi et non contesté que durant la période pénale visée l'appelant avait une obligation d'entretien envers l'enfant J______, dont il ne s'est sciemment pas acquitté en temps voulu, alors qu'il reconnaît en avoir eu les moyens. L'appelant ne saurait être suivi lorsqu'il invoque une erreur sur les faits et sur le droit, en prétendant qu'il croyait son obligation corrélée à son droit de visite, dès lors qu'il a admis qu'il bénéficiait alors des conseils d'un avocat, fût-il un ami, et qu'il ne prétend pas que celui-ci lui ait donné un renseignement erroné à ce sujet. Du reste, les déclarations de l'appelant indiquant qu'il avait provisionné un montant pour l'entretien de sa fille tendent à asseoir le fait qu'il était parfaitement conscient de son devoir d'entretien. Le conseil de l'intimée lui avait en outre rappelé ses obligations, via les démarches judiciaires entreprises pour recouvrer l'arriéré de pension dû. Enfin, de l'aveu même de l'appelant, l'avocate norvégienne de l'intimée l'avait encouragé à saisir les tribunaux en Norvège pour obtenir un droit de visite, démarche qu'il reconnaît ne pas avoir entreprise. S'il peut être pris acte du fait que l'appelant a finalement réglé l'arriéré dû au mois d'août 2019, il n'en demeure pas moins qu'il a réalisé les éléments constitutifs de l'infraction suscitée en n'assurant de déférer à son obligation dans les délais requis.</w:t>
      </w:r>
    </w:p>
    <w:p>
      <w:r>
        <w:rPr>
          <w:b/>
        </w:rPr>
        <w:t>E. 2.3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(ATF 142 IV 329 consid. 1.4.1 p. 331 = JdT 2017 IV 221 ; ATF 141 IV 61 consid. 6.1.2 p. 67 ; ATF 138 IV 113 consid. 3.4.1 p. 115 et les références). Il doit s'agir de peines de même genre (ATF 142 IV 265 consid. 2.3.2 et les références = JdT 2017 IV 129). L'art. 49 al. 2 CO n'autorise pas une nouvelle évaluation de la peine de base entrée en force (M. DUPUIS et al. , op. cit. , n. 24 ad art. 49). 3.2.4. En vertu del'art.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Constituent des revenus, outre ceux d'une activité lucrative dépendante ou indépendante, notamment les revenus d'une exploitation industrielle, agricole ou forestière, ainsi que les revenus de la fortune (loyers et fermages, intérêt du capital, dividendes, etc.).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p. 320 s. ; ATF 134 IV 60 consid. 6.1 p. 68 ; arrêts du Tribunal fédéral 6B_793/2017 du 18 avril 2018 consid. 2.1 ; 6B_845/2009 du 11 janvier 2010 consid. 1.1.2 = SJ 2010 I 205).</w:t>
      </w:r>
    </w:p>
    <w:p>
      <w:r>
        <w:rPr>
          <w:b/>
        </w:rPr>
        <w:t>E. 3</w:t>
      </w:r>
    </w:p>
    <w:p>
      <w:r>
        <w:t>3.1.1. Les infractions réalisées de lésions corporelles simples selon l'art. 123 ch. 1 et 2 al. 5 CP, de calomnie d'après l'art. 174 ch. 1 CP, de menaces en vertu de l'art. 180 al. 1 et 2 let. b CP et de violation d'une obligation d'entretien selon l'art. 217 al. 1 CP sont punies d'une peine privative de liberté de trois ans au plus ou d'une peine pécuniaire. L'infraction d'injure, au sens de l'art. 177 al. 1 CP, est réprimée d'une peine pécuniaire de 90 jours-amende au plus. Le juge pourra exempter le délinquant de toute peine si l'injurié a directement provoqué l'injure par une conduite répréhensible (art. 177 al. 2 CP). 3.1.2. Il sera faitapplication du droit en vigueur jusqu'au 31 décembre 2017, les actes reprochés à l'appelant ayant été commis sous l'empire de ce droit, et le nouveau droit des sanctions, qui marque globalement un durcissement, ne lui apparaissant pas plus favorable (l'art. 2 CP ; M. DUPUIS et al. , op. cit. , n. 6 ad art. 34 à 41 CP). En effet, au vu de la peine entrant en ligne de compte ( infra , ch. 3.3), le nouveau droit n'est pas plus clément dans la mesure où il exclut le prononcé d'une peine pécuniaire allant au-delà de 180 jours-amende (art. 34 al. 1 1 ère phrase CP dans sa teneur à partir du 1 er janvier 2018) et rend alors inévitable le prononcé d'une peine privative de liberté.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3.2.2.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ATF 144 IV 217 consid. 3.5 ; ATF 127 IV 101 consid. 2b p. 104 ; arrêts du Tribunal fédéral 6B_1216/2017 du 11 juin 2018 consid. 1.1.1 ; 6B_1175/2017 du 11 avril 2018 consid. 2.1 in medio ).</w:t>
      </w:r>
    </w:p>
    <w:p>
      <w:r>
        <w:rPr>
          <w:b/>
        </w:rPr>
        <w:t>E. 3.3</w:t>
      </w:r>
    </w:p>
    <w:p>
      <w:r>
        <w:t>En l'espèce, la faute de A______ est lourde. Il a attenté de manière conséquente et répétée à l'intégrité physique et psychique de l'intimée, ainsi qu'à son honneur et à sa liberté, et a fait fi de son obligation d'entretien vis-à-vis de son enfant, ce sur une période pénale significative. Il n'a également pas hésité à porter atteinte à l'honneur de la mère de l'intimée dans le contexte de ses affaires professionnelles, alors même qu'il savait qu'elle contribuait à aider financièrement sa fille au moyen de son activité. Il a agi en proie à des mobiles égoïstes, à une colère mal maîtrisée et sans considération pour les règles en vigueur, tel qu'il a pu du reste s'en vanter. La collaboration de l'appelant à la procédure ne peut être jugée bonne au vu de ses dénégations persistantes. Il en va de même de sa prise de conscience, dans la mesure où s'il a reconnu certains faits, il les a grandement minimisés ou a vainement tenté de les justifier. Incapable d'assumer l'entière responsabilité de ses actes, il ne parvient à sortir de sa propension à rejeter toute faute sur autrui. Sa situation personnelle ne justifiait en rien ses agissements, dès lors que d'autres moyens s'offraient à lui pour régler ou éviter ses conflits avec l'intimée, tout en préservant ses relations avec sa fille, notamment au niveau judiciaire. Aucune circonstance atténuante n'est réalisée au sens de l'art. 48 CP, ni au demeurant plaidée. Il n'y a pas lieu à une exemption de peine d'après l'art. 177 al. 2 CP, au vu des développements retenus supra (ch. 2.4.2.). Contrairement à ce qui prévalait en première instance, l'appelant a désormais un antécédent, soit la condamnation prononcée par le MP du canton du Valais le 20 mai 2019 pour violation grave des règles de la circulation routière. Sur le principe, s'agissant des faits de la cause, le prononcé d'une peine pécuniaire, assortie du sursis, est acquis à l'appelant (art. 42 al. 1 aCP et art. 391 al. 2 CPP a contrario ) et un délai d'épreuve de quatre ans apparaît de nature à le détourner de la commission de nouvelles infractions (art. 44 al. 1 CP). S'agissant de la quotité de la peine pécuniaire à fixer, il y a lieu de tenir compte d'un concours entre les infractions objets de la présente procédure, ainsi que d'un concours réel rétrospectif, au vu de la condamnation prononcée à l'encontre de l'appelant le 20 mai 2019 à 75 jours-amende. Les lésions corporelles simples répétées, considérées en l'occurrence comme l'infraction la plus grave, justifient à elles seules le prononcé d'une peine pécuniaire de 120 jours-amende, qui doit être aggravée de 60 jours-amende pour les menaces (peine hypothétique de 90 jours-amende), de 30 jours-amende pour la calomnie (peine hypothétique de 60 jours-amende), de même que pour la violation d'une obligation d'entretien, et de 20 jours-amende pour les insultes (peine hypothétique de 30 jours-amende). Si les faits concernés par la présente procédure avaient été jugés en même temps que ceux du 20 mai 2019, une peine pécuniaire globale de 300 jours-amende aurait été la sanction adéquate, entraînant en l'espèce le prononcé d'une peine complémentaire de 225 jours-amende, compatible avec l'ancien droit applicable. Cela étant, compte tenu de l'interdiction de la reformatio in pejus (art. 391 al. 2 CPP), la peine complémentaire prononcée n'excédera pas 150 jours-amende. Il n'y a pas lieu de revenir sur le montant du jour-amende, fixé adéquatement à CHF 600.-, en tenant compte des revenus élevés de l'appelant et de sa conséquente fortune immobilière. A cet égard, dans la mesure où l'appelant s'est contenté de produire une lettre de résiliation de son contrat de travail, sans fournir plus amples renseignements quant à sa situation actuelle, il n'y a pas lieu d'en déduire une péjoration substantielle de sa capacité financière. Le dispositif du jugement attaqué sera donc réformé uniquement en tant que la peine prononcée doit être déclarée complémentaire à celle du 20 mai 2019.</w:t>
      </w:r>
    </w:p>
    <w:p>
      <w:r>
        <w:rPr>
          <w:b/>
        </w:rPr>
        <w:t>E. 4</w:t>
      </w:r>
    </w:p>
    <w:p>
      <w:r>
        <w:t>.1.1.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 4.1.2. Selon l'art. 41 de la loi fédérale du 30 mars 1911, complétant le Code civil suisse (CO, Code des obligations ; RS 220), celui qui cause, d'une manière illicite, un dommage à autrui, soit intentionnellement, soit par négligence ou imprudence, est tenu de le réparer. 4.1.3. Selon l'art. 49 al. 1 CO, celui qui subit une atteinte illicite à sa personnalité a droit à une somme d'argent à titre de réparation morale, pour autant que la gravité de l'atteinte le justifie et que l'auteur ne lui ait pas donné satisfaction autrement.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(ATF 141 III 97 consid. 11.2 p. 98 et les références). 4.2.1. Compte tenu des verdicts de culpabilité confirmés, il n'y a pas lieu de revenir sur la condamnation de l'appelant à payer à l'intimée le montant de CHF 2'107.- pour les frais médicaux qu'elle a effectivement supportés, ceux-ci étant justifiés et en lien avec les violences retenues à l'encontre de l'appelant. Ce dernier en est le premier responsable et ne saurait se décharger des conséquences de ses actes sur le fait qu'une potentielle assurance aurait pu les prendre en charge. 4.2.2. De même, l'octroi d'une réparation morale à l'intimée se justifie sur le principe, notamment au vu des rapports médicaux des 18, 21 et 23 février 2018, faisant état de la persistance de souffrances notables. La quotité de CHF 2'000.-, arrêtée par le premier juge, est adéquate et n'a du reste pas fait l'objet d'une critique spécifique de l'appelant. Elle sera donc confirmée.</w:t>
      </w:r>
    </w:p>
    <w:p>
      <w:r>
        <w:rPr>
          <w:b/>
        </w:rPr>
        <w:t>E. 5</w:t>
      </w:r>
    </w:p>
    <w:p>
      <w:r>
        <w:t>L'appelant, qui succombe, supportera les frais de la procédure envers l'Etat, qui comprennent en appel un émolument de CHF 3'000.- (art. 428 CPP et art. 14 al. 1 let. e du Règlement fixant le tarif des frais en matière pénale ; E 4 10.03). Il n'y a pas lieu de revoir la répartition des frais de première instance (art. 428 al. 3 CPP a contrario ).</w:t>
      </w:r>
    </w:p>
    <w:p>
      <w:r>
        <w:rPr>
          <w:b/>
        </w:rPr>
        <w:t>E. 6</w:t>
      </w:r>
    </w:p>
    <w:p>
      <w:r>
        <w:t>6.1.1. L'art. 429 al. 1 let. a CPP prévoit que si le prévenu est acquitté totalement ou en partie ou s'il bénéficie d'une ordonnance de classement, il a droit à une indemnité pour les dépenses occasionnées par l'exercice raisonnable de ses droits de procédure. 6.1.2. Au vu de ce qui précède, il n'y a pas lieu d'entrer en matière surl'octroi d'une indemnité à l'appelant pour ses frais de défense. 6.2.1.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 Le juge dispose d'une marge d'appréciation à cet égard, mais ne devrait pas se montrer trop exigeant dans l'appréciation rétrospective qu'il porte sur les actes nécessaires (M. NIGGLI / M. HEER / H. WIPRÄCHTIGER [éds], Strafprozess-ordnung - Jugendstrafprozessordnung, Basler Kommentar StPO/JStPO , 2e éd., Bâle 2014, n. 19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L'avocat mandaté par un client domicilié à l'étranger ne peut pas facturer de montant au titre de la TVA ( ACPR/402/2012 du 27 septembre 2012 consid. 3.). 6.2.2. Après examen des justificatifs produits, l'autorité de première instance a condamné l'appelant à payer à l'intimée la somme totale de CHF 49'849.15, incluant ses frais de déplacement en CHF 6'518.63, ses frais d'avocat au 10 avril 2018 en CHF 34'457.50 - dûment exonérés de TVA -, ainsi que ses frais d'avocatentre les 12 avril 2018 et 11 mars 2019 en CHF 8'873.-. L'appelant juge ces montants alloués par le premier juge exorbitants, sans toutefois émettre de crique précise sur leur calcul. Au surplus, il n'y a pas lieu d'apprécier ces frais au regard de la peine qui lui a été infligée, tel qu'il le soutient. Or, ces frais sont documentés et proportionnés à la difficulté de la cause, ainsi qu'à la durée de la procédure, étant relevé que le conseil de l'intimée a dû faire un travail substantiel de collecte et de production des preuves face aux dénégations de l'appelant. Ainsi, compte tenu des verdicts de culpabilité prononcés à l'encontre de ce dernier, sa condamnation à rembourser à l'intimée lesdits frais doit être confirmée. 6.2.3. Enappel, l'intimée conclut à la condamnation de l'appelant à lui payer un montant supplémentaire de CHF 7'342.50, plus TVA, pour ses frais d'avocat et produit un relevé, pour la période du 22 août au 23 septembre 2019, faisant état de 19 heures et 45 minutes d'activité, aux tarifs de CHF 380.- de l'heure pour le conseil et de CHF 250.- pour le stagiaire (soit CHF 312.50 pour 01h15 d'activité), pour l'étude du dossier, la rédaction du mémoire réponse (32 pages), des recherches juridiques et de la correspondance avec la cliente. Compte tenu des principes qui précèdent, il convient de ramener le tarif horaire de l'avocat-stagiaire à CHF 150.-, soit CHF 187.50 pour 01h15 au lieu de CHF 312.50. Au surplus, ces frais, justifiés et proportionnés, peuvent être globalement avalisés. Partant, l'appelant sera également condamné à verser à l'intimée la somme de CHF 7'217.50 (7'342.50 - 312.50 [+ CHF 187.50]) pour ses frais d'avocat en appel, sans qu'il n'y ait lieu d'y ajouter la TVA au vu du domicile étranger de l'intimée.</w:t>
      </w:r>
    </w:p>
    <w:p>
      <w:r>
        <w:rPr>
          <w:b/>
        </w:rPr>
        <w:t>E. 7</w:t>
      </w:r>
    </w:p>
    <w:p>
      <w:r>
        <w:t>En conclusion, l'appel doit être entièrement rejeté, le dispositif du jugement entrepris ne devant être modifié qu'en tant que la peine prononcée doit être déclarée complémentaire à celle infligée le 20 mai 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