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P/8202/2012 vom 15. Juli 2013</w:t>
      </w:r>
    </w:p>
    <w:p>
      <w:r>
        <w:t>GE Cour de justice, 2013-07-15, FR</w:t>
      </w:r>
    </w:p>
    <w:p>
      <w:r>
        <w:rPr>
          <w:b/>
        </w:rPr>
        <w:t xml:space="preserve">Quelle: </w:t>
      </w:r>
      <w:r>
        <w:t>https://mcp.opencaselaw.ch/entscheid/ge_gerichte_P_8202_2012</w:t>
      </w:r>
    </w:p>
    <w:p>
      <w:r>
        <w:t>FR: GE_GERICHTE P/8202/2012 du 15 juillet 2013</w:t>
      </w:r>
    </w:p>
    <w:p>
      <w:r>
        <w:t>IT: GE_GERICHTE P/8202/2012 del 15 luglio 2013</w:t>
      </w:r>
    </w:p>
    <w:p>
      <w:pPr>
        <w:pStyle w:val="Heading2"/>
      </w:pPr>
      <w:r>
        <w:t>Regeste</w:t>
      </w:r>
    </w:p>
    <w:p>
      <w:r>
        <w:t>DISPOSITIONS PÉNALES DE LA LCR | LCR.91a.1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3.1</w:t>
      </w:r>
    </w:p>
    <w:p>
      <w:r>
        <w:t>Aux termes de l'art. 91a al. 1 LCR,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Selon la jurisprudence - rendue sous l'empire de l'ancien art. 91 al. 3 LCR mais qui demeure applicable au nouvel art. 91a LCR en vigueur depuis le 1er janvier 2005 (FF 1999 4106), la dérobade aux mesures visant à déterminer l'incapacité de conduire est liée à la violation des devoirs en cas d'accident. Dans ce cas, l'art. 51 LCR prévoit que toutes les personnes impliquées devront s'arrêter immédiatement (al. 1 1ère phrase). Elles sont tenues d'assurer, dans la mesure du possible, la sécurité de la circulation (al. 1 2ème phrase). 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 (al. 2). Si l'accident n'a causé que des dommages matériels, leur auteur en avertira tout de suite le lésé en indiquant son nom et son adresse. En cas d'impossibilité, il en informera sans délai la police (al. 3). L'art. 56 al. 2 OCR ajoute que si un lésé veut appeler la police sans qu'il y ait obligation de l'aviser, les autres personnes impliquées doivent participer à la constatation des faits jusqu'à ce qu'elles soient libérées par la police (arrêt du Tribunal fédéral 6B_17/2012 du 30 avril 2012). Ainsi, les éléments constitutifs de la dérobade sont au nombre de deux : (1) l'auteur doit violer une obligation d'aviser la police en cas d'accident, alors que cette annonce est destinée à l'établissement des circonstances de l'accident et est concrètement possible ; (2) l'ordre de se soumettre à une mesure d'investigation de l'état d'incapacité de conduire doit apparaître objectivement comme hautement vraisemblable au vu des circonstances.</w:t>
      </w:r>
    </w:p>
    <w:p>
      <w:r>
        <w:rPr>
          <w:b/>
        </w:rPr>
        <w:t>E. 3.2</w:t>
      </w:r>
    </w:p>
    <w:p>
      <w:r>
        <w:t>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Ils peuvent aussi se rapporter au comportement du conducteur (haleine sentant l'alcool, yeux injectés, élocution pâteuse ou démarche incertaine; propos incohérents ou une extrême agitation; ATF 126 IV 53 consid. 2a p. 55 s.). Constituent enfin des indices d'ébriété les activités de l'auteur avant l'accident (participation à une fête, consommation d'alcool), voire même les antécédents routiers d'un conducteur. En l'absence de signes d'ivresse et de dégâts importants, les circonstances de l'accident tiennent un rôle déterminant pour apprécier la haute vraisemblance de la prise de sang. En effet, en pareil cas, plus l'accident peut s'expliquer par des circonstances indépendantes du conducteur - conditions climatiques, configuration des lieux -, moins on saurait conclure à une haute vraisemblance (arrêt du Tribunal fédéral 6S.435/2001 du 8 août 2001 consid. 2e). Le fait de se dérober à une mesure visant à constater l'incapacité de conduire est une infraction de résultat qui suppose, pour être consommée, qu'il soit impossible d'établir le taux d'alcool au moment déterminant. Si, en dépit du comportement illicite de l'auteur, il a tout de même été possible de déterminer de manière fiable, par la prise de sang qui a eu lieu ultérieurement, la concentration d'alcool au moment déterminant, il ne doit être condamné que pour tentative de se dérober à une prise de sang (ATF 115 IV 51 consid. 5 p. 56).</w:t>
      </w:r>
    </w:p>
    <w:p>
      <w:r>
        <w:rPr>
          <w:b/>
        </w:rPr>
        <w:t>E. 3.3</w:t>
      </w:r>
    </w:p>
    <w:p>
      <w:r>
        <w:t>Sur le plan subjectif, la dérobade est une infraction intentionnelle, le dol éventuel étant suffisant. Tel est le cas lorsque le conducteur connaissait les faits fondant son obligation d'avertir la police et la haute vraisemblance de l'ordre de prise de sang et que l'omission de l'annonce à la police - qui était sans autre possible - ne peut raisonnablement s'expliquer que par l'acceptation du risque d'une entrave à la prise de sang (ATF 131 IV 36 consid. 2.2.1 p. 39).</w:t>
      </w:r>
    </w:p>
    <w:p>
      <w:r>
        <w:rPr>
          <w:b/>
        </w:rPr>
        <w:t>E. 4</w:t>
      </w:r>
    </w:p>
    <w:p>
      <w:r>
        <w:t>4.1 En l'espèce, il est établi que X______ a violé son obligation d'aviser la police, ou à tout le moins d'attendre d'avoir été libéré par cette dernière, à la suite de l'accident. L'appelant ne le discute pas.</w:t>
      </w:r>
    </w:p>
    <w:p>
      <w:r>
        <w:rPr>
          <w:b/>
        </w:rPr>
        <w:t>E. 4.2</w:t>
      </w:r>
    </w:p>
    <w:p>
      <w:r>
        <w:t>La Cour de céans tient pour hautement vraisemblable qu'une mesure d'investigation de l'état d'incapacité de conduire de l'appelant aurait été ordonnée. Au moment de l'accident, les conditions météorologiques étaient bonnes. La route était dégagée et bien illuminée. Ces circonstances n'auraient pas pu, aux yeux de la police, expliquer d'une quelconque manière la perte de maîtrise du véhicule que conduisait l'appelant. A contrario , le jour de l'accident (un samedi), l'heure très matinale, l'état de fatigue avancé de l'appelant qui devait être perceptible, voire l'odeur de son haleine empreinte d'alcool et sans doute son antécédent auraient nécessairement poussé la police à vérifier la capacité de conduire de l'appelant. Les éléments constitutifs objectifs de l'infraction sont ainsi réalisés. Lorsque l'appelant s'est présenté spontanément à la police le soir suivant les faits, il n'était plus possible d'évaluer la concentration d'alcool présente dans son sang au moment de l'accident étant donné les nombreuses heures écoulées. Le résultat de l'infraction est donc atteint.</w:t>
      </w:r>
    </w:p>
    <w:p>
      <w:r>
        <w:rPr>
          <w:b/>
        </w:rPr>
        <w:t>E. 4.3</w:t>
      </w:r>
    </w:p>
    <w:p>
      <w:r>
        <w:t>Bien que l'appelant s'évertue à soutenir qu'il n'a fui que par peur de la réaction de son père, cette version ne peut pas être tenue pour crédible. L'appelant, déjà sous le coup d'une condamnation pénale pour conduite en état d'ébriété, ne pouvait ignorer qu'un tel contrôle, dans les circonstances de l'accident, serait nécessairement ordonné, ce qu'il ne discute pas non plus. Il a d'ailleurs déclaré qu'il voulait également échapper à la police. Mais même dans l'hypothèse où il voulait échapper à la police pour éviter qu'elle n'annonce l'accident à son père, l'appelant ne pouvait pas ne pas avoir à l'esprit qu'un contrôle de son aptitude à la conduite automobile serait ordonné. L'infraction serait donc réalisée par dol éventuel. Par ailleurs, l'appelant a évité qu'on puisse le retrouver. Il ne s'est pas manifesté auprès de son père et a éteint son téléphone portable. Durant les heures qui ont suivi l'accident, il avait nécessairement à l'esprit les circonstances de l'accident qui auraient inévitablement mené à un ordre de contrôle. Son intention d'y échapper, fusse par dol éventuel, est par conséquent établie, ainsi que le lien de causalité adéquat entre la fuite et l'acceptation du risque d'une entrave à la prise de sang. Pour le surplus, il est certain et non contesté que l'appelant connaissait son devoir d'alerter la police ou, à tout le moins, de laisser son identité et ses coordonnées au conducteur accidenté. Le verdict de culpabilité du chef d'opposition ou dérobade aux mesures visant à déterminer l'incapacité de conduire sera confirmé.</w:t>
      </w:r>
    </w:p>
    <w:p>
      <w:r>
        <w:rPr>
          <w:b/>
        </w:rPr>
        <w:t>E. 5</w:t>
      </w:r>
    </w:p>
    <w:p>
      <w:r>
        <w:t>L'appelant conclut à une diminution de la peine, au cas où son acquittement serait prononcé, et à une indemnité pour ses frais de défense. Dans la mesure où il succombe sur la question de sa culpabilité, ses autres conclusions deviennent sans objet.</w:t>
      </w:r>
    </w:p>
    <w:p>
      <w:r>
        <w:rPr>
          <w:b/>
        </w:rPr>
        <w:t>E. 6</w:t>
      </w:r>
    </w:p>
    <w:p>
      <w:r>
        <w:t>L'appelant, qui succombe, supportera les frais de la procédure envers l'Etat (art. 428 CPP), comprenant un émolument de CHF 1'200.- (art.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