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P/8201/2018 vom 14. Januar 2019</w:t>
      </w:r>
    </w:p>
    <w:p>
      <w:r>
        <w:t>GE Cour de justice, 2019-01-14, FR</w:t>
      </w:r>
    </w:p>
    <w:p>
      <w:r>
        <w:rPr>
          <w:b/>
        </w:rPr>
        <w:t xml:space="preserve">Quelle: </w:t>
      </w:r>
      <w:r>
        <w:t>https://mcp.opencaselaw.ch/entscheid/ge_gerichte_P_8201_2018</w:t>
      </w:r>
    </w:p>
    <w:p>
      <w:r>
        <w:t>FR: GE_GERICHTE P/8201/2018 du 14 janvier 2019</w:t>
      </w:r>
    </w:p>
    <w:p>
      <w:r>
        <w:t>IT: GE_GERICHTE P/8201/2018 del 14 gennaio 2019</w:t>
      </w:r>
    </w:p>
    <w:p>
      <w:pPr>
        <w:pStyle w:val="Heading2"/>
      </w:pPr>
      <w:r>
        <w:t>Regeste</w:t>
      </w:r>
    </w:p>
    <w:p>
      <w:r>
        <w:t>LStup.19.al2; CP.47; CP.43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2.1.2 . En matière de trafic de stupéfiants, il y a lieu de tenir compte, plus spécialement, des circonstances suivantes (arrêt du Tribunal fédéral 6B_189/2017 du 7 décembre 2017 consid. 5.1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p. 103 ; arrêt du Tribunal fédéral 6B_189/2017 du 7 décembre 2017 consid. 5.1 et les références).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2.1.3.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2.1.4 .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2.1.5. La vulnérabilité du délinquant face à la peine ne doit être retenue comme circonstance atténuante que si elle rend la sanction considérablement plus dure pour lui que pour la moyenne des autres condamnés, par exemple en présence de maladies graves (cf. arrêt du Tribunal fédéral 6B_533/2011 du 10 novembre 2011 consid. 7.1 et les références), de psychoses claustrophobiques ou de surdimutité (arrêts du Tribunal fédéral 6B_1299/2016 du 27 septembre 2017 consid. 2.3.3 ; 6B_71/2016 du 5 avril 2017 consid. 4.2). Dans certains cas, le grand âge de l'auteur pourra aussi influer sur la sensibilité à la peine. Il a cependant été jugé que l'âge de 70 ans n'était pas suffisamment avancé pour être pris en considération (arrêt du Tribunal fédéral 6S.2/2006 du 7 mars 2006 consid. 1.2). De même, le seul fait d'être âgé de 60 ans environ n'est pas un facteur suffisant pour retenir une vulnérabilité particulière face à la sanction (arrêt du Tribunal fédéral 6B_1165/2014 du 28 octobre 2014 consid. 2.4 et les références).</w:t>
      </w:r>
    </w:p>
    <w:p>
      <w:r>
        <w:rPr>
          <w:b/>
        </w:rPr>
        <w:t>E. 2.2</w:t>
      </w:r>
    </w:p>
    <w:p>
      <w:r>
        <w:t>. Dans le cas des peines privatives de liberté qui excèdent la limite fixée pour l'octroi du sursis complet, l'art. 43 CP s'applique de manière autonome en ce sens que cette mesure est alors remplacée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Pour fixer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r>
        <w:rPr>
          <w:b/>
        </w:rPr>
        <w:t>E. 2.3</w:t>
      </w:r>
    </w:p>
    <w:p>
      <w:r>
        <w:t>En l'espèce, la faute de l'appelant est lourde puisqu'il a participé à un trafic international de stupéfiants, consistant à importer en Suisse près d'un kilo de cocaïne d'une grande pureté et donc propre à mettre en danger la santé de nombreuses personnes, ce qu'il ne pouvait ignorer. S'il ne connaissait pas le taux de pureté exact de la drogue, il ne pouvait que se douter qu'il était élevé pour justifier le franchissement de deux frontières, la drogue devant ensuite être transportée à ______ (France), et les risques inhérents au transport aérien, soumis à de nombreux contrôles. L'appelant s'est vu confier une quantité de cocaïne très importante et d'une grande qualité, ce qui démontre qu'il jouissait d'une certaine confiance des dirigeants du trafic. Bien qu'il ne soit pas établi qu'il devait participer au bénéfice direct de la revente de la cocaïne transportée, il devait toucher entre EUR 2'000.- et EUR 3'000.-, somme qui est loin d'être négligeable au vu des gains d'origine licite qu'il a déclaré pouvoir réaliser. Le mobile relève de l'appât du gain rapide et facile, aucun autre motif n'expliquant les agissements de l'appelant, lequel n'est pas toxicomane. Sa situation personnelle, pour difficile qu'elle soit, ne justifie pas ses agissements. L'appelant gagnait environ EUR 1'000.-, auxquels s'ajoutait le revenu de son épouse de quelque EUR 500.- et les allocations familiales, revenu global qui n'est pas négligeable au Portugal, pays dans lequel le salaire moyen en 2018 était de USD 1'715.- (source ouverte : https://major-prepa.com/classements/salaires-moyens-du-monde), soit environ EUR 1'500.-. De plus, en tant que ressortissant portugais, il avait accès légalement au marché du travail européen, de sorte qu'il ne saurait soutenir que la délinquance était une des seules options envisageables pour survivre. La collaboration de l'appelant ne peut être qualifiée de bonne. Il pouvait difficilement contester le transport de la cocaïne, qui a été découverte au scanner, ni le caractère international du trafic, vu qu'il était arrivé en avion depuis le Portugal. Ses explications sont toutefois restées minimalistes et peu convaincantes. Il a ainsi refusé de fournir une quelconque indication qui aurait pu faire progresser l’enquête, en particulier quant aux autres protagonistes impliqués dans l'opération. Il n'a pas non plus cessé de donner des explications fluctuantes et peu crédibles, notamment sur ses venues précédentes en Suisse. On ne saurait non plus considérer que l'appelant est plus vulnérable à la peine que la moyenne des autres condamnés. Son âge, qui est de 53 ans, n'est pas assez avancé pour que l'on doive en tenir compte, et l'appelant n'invoque aucune maladie grave. Pour le surplus, toute peine privative de liberté ferme a des répercussions sur le conjoint et les enfants ; la situation familiale du condamné n'est prise en compte que dans des circonstances particulières, lesquelles ne sont pas réalisées en l'espèce. Outre l'absence d'antécédent, facteur qui est cependant neutre dans la fixation de la peine, il sera tenu compte à décharge, comme l'ont fait les premiers juges, du fait que l'appelant semble avoir commencé à prendre conscience de la gravité de ses actes et a exprimé des regrets. Eu égard à l'ensemble de ces considérations, et compte tenu du fait que la faute demeure le critère prépondérant en matière de fixation de la sanction, il convient de confirmer la peine privative de liberté de trois ans prononcée en première instance, cette peine se situant dans la partie basse de la fourchette des peines en matière d'infraction grave à la LStup (entre 1 an et 20 ans). C'est aussi à juste titre que la partie ferme de la peine a été fixée à 18 mois, compte tenu de la faute et de la prise de conscience balbutiante, l'exécution de cette partie de la peine devant permettre de contenir le risque de récidive. L'appel sera ainsi rejeté.</w:t>
      </w:r>
    </w:p>
    <w:p>
      <w:r>
        <w:rPr>
          <w:b/>
        </w:rPr>
        <w:t>E. 3</w:t>
      </w:r>
    </w:p>
    <w:p>
      <w:r>
        <w:t>L'appelant, qui succombe, supportera les frais de la procédure envers l'État (art. 428 CPP).</w:t>
      </w:r>
    </w:p>
    <w:p>
      <w:r>
        <w:rPr>
          <w:b/>
        </w:rPr>
        <w:t>E. 4</w:t>
      </w:r>
    </w:p>
    <w:p>
      <w:r>
        <w:t>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4.1.2.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En cas d'assujettissement, l'équivalent de la TVA est versé en sus. 4.1.3.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 4.1.4.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entretiens téléphoniques et la lecture de communications, pièces et décisions, pratique que le Tribunal fédéral a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l'espèce, il convient de retrancher de l'état de frais soumis, qui fait état de</w:t>
      </w:r>
    </w:p>
    <w:p>
      <w:r>
        <w:rPr>
          <w:b/>
        </w:rPr>
        <w:t>E. 7</w:t>
      </w:r>
    </w:p>
    <w:p>
      <w:r>
        <w:t>heures d'activité de chef d'étude, les 1h30 relatives à la prise de connaissance du jugement et à la rédaction de la déclaration d'appel, ces prestations étant comprises dans le forfait applicable, étant précisé que la déclaration d'appel n'avait pas à être motivée. L'indemnité due au défenseur d'office de l'appelant sera arrêtée à CHF 1'421.65, correspondant à 5h30 d'activité à CHF 200.-, plus la majoration forfaitaire de 20% (CHF 220.-) et l'équivalent de la TVA au taux de 7.7% (CHF 101.65), compte tenu de la qualité de chef d'étude du défenseur d'office désigné. Il convient d'y ajouter les frais de traduction, dûment justifiés, pour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