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P/8198/2023 vom 27. Januar 2025</w:t>
      </w:r>
    </w:p>
    <w:p>
      <w:r>
        <w:t>GE Cour de justice, 2025-01-27, FR</w:t>
      </w:r>
    </w:p>
    <w:p>
      <w:r>
        <w:rPr>
          <w:b/>
        </w:rPr>
        <w:t xml:space="preserve">Quelle: </w:t>
      </w:r>
      <w:r>
        <w:t>https://mcp.opencaselaw.ch/entscheid/ge_gerichte_P_8198_2023</w:t>
      </w:r>
    </w:p>
    <w:p>
      <w:r>
        <w:t>FR: GE_GERICHTE P/8198/2023 du 27 janvier 2025</w:t>
      </w:r>
    </w:p>
    <w:p>
      <w:r>
        <w:t>IT: GE_GERICHTE P/8198/2023 del 27 gennaio 2025</w:t>
      </w:r>
    </w:p>
    <w:p>
      <w:pPr>
        <w:pStyle w:val="Heading2"/>
      </w:pPr>
      <w:r>
        <w:t>Regeste</w:t>
      </w:r>
    </w:p>
    <w:p>
      <w:r>
        <w:t>CAPACITÉ D'ESTER EN JUSTICE;CURATELLE;DROITS STRICTEMENT PERSONNELS;ORDONNANCE PÉNALE;FORMALISME EXCESSIF;OPPOSITION(PROCÉDURE) | CPP.356; CPP.106; CC.390; CPP.127</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de la prévenue, partie à la procédure (art. 104 al. 1 let. a CPP) qui a qualité pour agir, ayant un intérêt juridiquement protégé à l'annulation de cette décision (art. 382 al. 1 CPP).</w:t>
      </w:r>
    </w:p>
    <w:p>
      <w:r>
        <w:rPr>
          <w:b/>
        </w:rPr>
        <w:t>E. 2</w:t>
      </w:r>
    </w:p>
    <w:p>
      <w:r>
        <w:t>ème éd., Bâle 2019, n. 6 ad art. 106). En vertu de l'art. 106 CPP, le prévenu ne peut valablement accomplir des actes de procédure que s'il a l'exercice des droits civils (al. 1). Dans la négative, il doit agir par l’intermédiaire de son représentant légal (al. 2). 2.3.1. Conformément à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disposition a été formulée de manière vague afin de pouvoir englober tous les degrés d'un état de faiblesse et viser tous les types de curatelle. La sauvegarde des intérêts dont il est question peut concerner tant la gestion des affaires personnelles que celle des affaires patrimoniales, y compris les rapports juridiques avec les tiers, et comprend également les intérêts qui doivent être défendus dans le cadre d'une procédure (arrêt du Tribunal fédéral 5C.25/2003 du 27 mai 2003 consid. 4.3.1; P. PICHONNAZ / B. FOËX / C. FOUNTOULAKIS (éds), Commentaire romand : Code civil I – Art. 1-456 CC , 2 ème éd., Bâle, 2024, n. 21 et 24 ad art. 390). Être empêché d'assurer la sauvegarde de ses intérêts est une notion relative, qui se mesure à l'aune du genre d'affaires que la personne est amenée à gérer. La nature et l'étendue de cet empêchement auront une influence sur le type de curatelle ordonnée (accompagnement, représentation, coopération, curatelle de portée générale), de même que sur le type de tâches confiées au curateur et l'ampleur de ces dernières (A. LEUBA / M. STETTLER / A. BÜCHLER / C. HÄFELI (éds), Comm. Fam. Protection de l'adulte , Berne, 2013, n. 20 ad art. 390). La personne doit être empêchée, non seulement de gérer elle-même ses propres affaires de manière adéquate, mais également de donner un pouvoir de représentation à un tiers, de le surveiller, de lui donner des instructions ou de révoquer son mandat si nécessaire (A. LEUBA / M. STETTLER / A. BÜCHLER / C. HÄFELI (éds), op.cit., n. 25 ad art. 390). L'autorité de protection de l'adulte détermine, en fonction des besoins de la personne concernée, les tâches à accomplir dans le cadre de la curatelle (art. 391 al. 1 CC). 2.3.2. La loi prévoit différents types de curatelle, lesquels n'ont pas tous le même effet sur l'exercice des droits civils. La curatelle d'accompagnement, instituée, avec le consentement de la personne qui a besoin d'aide, lorsque celle-ci doit être assistée pour accomplir certains actes, ne confère pas au curateur de pouvoir de représentation et ne limite donc pas l'exercice des droits civils de la personne concernée (art. 393 CC). Le protégé placé sous curatelle de portée générale est en revanche privé de plein droit de l’exercice des droits civils (art. 398 al. 3 CC). Lorsque, comme dans le cas présent, une curatelle de représentation est instituée, elle ne prive pas de plein droit l'intéressé de l'exercice des droits civils et l'autorité de protection de l'adulte doit, si telle est son intention, limiter expressément celui-ci dans sa décision (art. 394 al. 2 CC; A. LEUBA / M. STETTLER / A. BÜCHLER / C. HÄFELI (éds), Comm. Fam. Protection de l'adulte , Berne, 2013, n. 12 ad art. 395). Cette décision doit respecter le principe de la proportionnalité. La capacité civile de la personne concernée ne peut être restreinte que dans la mesure absolument nécessaire et si cette limitation s'avère adéquate dans le cas d'espèce. Tel est notamment le cas lorsque la volonté ou l'aptitude à collaborer de la personne concernée font défaut; la condition préalable à la bonne exécution de la curatelle n'est en effet plus réalisée. Il doit toujours exister des indices concrets que la personne risque objectivement de faire obstacle aux actes du curateur. Une limitation de l'exercice des droits civils pour les procédures devant les tribunaux est par exemple envisageable, lorsque la personne se montre quérulente (P. PICHONNAZ / B. FOËX / C. FOUNTOULAKIS (éds), op.cit. , n. 28 et 29 ad art. 394). 2.3.3. La personne ne devant être représentée que dans la mesure nécessaire, l'autorité doit déterminer précisément le type de tâches pour lesquelles le curateur est compétent. Sont particulièrement visées les affaires de logement, de santé, d'éducation, d'emploi, les affaires administratives, les relations sociales, d'éventuelles procédures judiciaires, ainsi que la gestion des biens et des revenus (P. PICHONNAZ / B. FOËX / C. FOUNTOULAKIS (éds), op.cit., n. 3 ad art. 394). Le curateur qui se voit confier la gestion de certains éléments patrimoniaux est investi d'un pouvoir légal de représentation par rapport à ces éléments, y compris sur le plan juridique: la personne concernée est donc liée par les actes du curateur, qu'elle soit privée ou non de sa capacité civile (art. 394 al. 3 CC; P. PICHONNAZ / B. FOËX / C. FOUNTOULAKIS (éds), op.cit. , n. 23 ad art. 391). Pour un certain nombre d'actes, notamment pour plaider et transiger, le curateur doit toutefois requérir le consentement de l'autorité de protection de l'adulte lorsqu'il agit au nom de la personne concernée, sous réserve des mesures provisoires prises d'urgence (art. 416 al. 1 ch. 9 CC), à moins que cette dernière soit capable de discernement, que l'exercice de ses droits civils ne soit pas restreint par la curatelle et qu'elle donne son accord (art. 416 al. 2 CC). En revanche, le curateur ne peut pas représenter la personne capable de discernement pour l'exercice de droits strictement personnels – tels le droit d'interjeter recours, cf. arrêt du Tribunal fédéral 6B_847/2015 du 13 juin 2016 consid. 2.1 –, car cette dernière les exerce directement, même si elle ne possède pas le plein exercice des droits civils. Dans ce cas, la personne concernée peut agir seule, pour autant qu'elle soit capable de discernement, et peut choisir librement son mandataire, qu'il s'agisse du curateur ou d'un avocat (P.-H. STEINAUER / C. FOUNTOULAKIS, Droit des personnes physiques et de la protection de l'adulte , Berne, 2014, n° 216). 2.4.1. Conformément à l'art. 127 al. 1 CPP, le prévenu, la partie plaignante et les autres participants à la procédure peuvent se faire assister d'un conseil juridique pour défendre leurs intérêts. La défense du prévenu est toutefois réservée aux avocats habilités à représenter les parties devant les autorités judiciaires en vertu de la loi du 23 juin 2000 sur les avocats (LLCA), sous réserve de dispositions cantonales dérogatoires pour la défense en procédure pénale de contravention (art. 125 al. 5 CPP). Les avocats autorisés à défendre en vertu de la première partie de cette disposition sont les avocats inscrits à un registre cantonal des avocats (art. 4 LLCA) ainsi que, conformément aux prescriptions des art. 21 ss. LLCA, les avocats des Etats membres de l'UE ou de l'AELE. Même en l'absence de représentation professionnelle, le prévenu ne peut donc pas désigner n'importe quelle personne pour le défendre (ATF 147 IV 379 consid. 1.2.3). 2.4.2.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142 IV 299 consid. 1.3.2; 142 I 10 consid. 2.4.2; 135 I 6 consid. 2.1; arrêt du Tribunal fédéral 6B_1129/2019 du 27 novembre 2019 consid. 1.1).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 établies par la loi (ATF 149 IV 9 consid. 7.2). En application de ces principes, le Tribunal fédéral a jugé, dans un cas relatif à une déclaration d'appel signée par une personne non admise comme représentant, que, même si le délai légal de recours était échu, un délai convenable devait être imparti à l'intéressé pour réparer le vice, avec l'avertissement qu'à défaut, l'acte ne serait pas pris en considération (ATF 142 I 10 consid. 2.4). La même jurisprudence vaut en cas de dépôt d'un acte non signé (arrêt du Tribunal fédéral 6B_51/2015 du 28 octobre 2015 consid. 2.2).</w:t>
      </w:r>
    </w:p>
    <w:p>
      <w:r>
        <w:rPr>
          <w:b/>
        </w:rPr>
        <w:t>E. 2.1</w:t>
      </w:r>
    </w:p>
    <w:p>
      <w:r>
        <w:t>Le prévenu peut former opposition contre l'ordonnance pénale devant le ministère public, par écrit et dans un délai de dix jours (art. 354 al. 1 let. a CPP). S'il décide de maintenir sa décision, le ministère public transmet sans retard le dossier au tribunal de première instance en vue des débats. L'ordonnance pénale tient alors lieu d'acte d'accusation (art. 356 al. 1 CPP). Conformément à l'art. 356 al. 2 CPP, le juge statue sur la validité de l'ordonnance pénale et de l'opposition. Lorsque l'opposition n'est pas valable, il n'entre pas en matière et n'examine donc pas le bien-fondé de la contestation (cf. Message du 21 décembre 2005 relatif à l'unification de la procédure pénale, FF 2006 1275).</w:t>
      </w:r>
    </w:p>
    <w:p>
      <w:r>
        <w:rPr>
          <w:b/>
        </w:rPr>
        <w:t>E. 2.2</w:t>
      </w:r>
    </w:p>
    <w:p>
      <w:r>
        <w:t>La capacité d'ester en justice est la faculté de mener soi-même le procès ou de désigner soi-même un mandataire qualifié pour le faire (Y. JEANNERET / A. KUHN / C. PERRIER DEPEURSINGE (éds), Commentaire romand : Code de procédure pénale suisse,</w:t>
      </w:r>
    </w:p>
    <w:p>
      <w:r>
        <w:rPr>
          <w:b/>
        </w:rPr>
        <w:t>E. 2.5</w:t>
      </w:r>
    </w:p>
    <w:p>
      <w:r>
        <w:t>En l'espèce, contrairement à ce que soutient la recourante, le fait que sa curatrice se soit vu investie, par le TPAE, du droit de la représenter dans ses rapports avec les tiers, y compris en matière juridique, n'emporte pas pour autant le droit de former opposition à sa place. Il faut en effet considérer que le droit de faire opposition à une ordonnance pénale est de nature strictement personnelle, à l'instar du droit de déposer plainte ou de faire recours contre une décision, de sorte que le curateur ne peut pas représenter son pupille, s'il est capable de discernement (cf. AARP/157/2022 du 23 mai 2022). En soi, cela ne fait pas obstacle à ce que la personne concernée mandate son curateur pour la défense de ses intérêts. Une telle démarche se heurte toutefois au monopole des avocats, entre autres institué par l'art. 127 al. 5 CPP. Dans la mesure où l'on ne se trouve pas dans un cas de représentation légale, la désignation par le pupille de son curateur aux fins de le représenter ne permet pas de ménager d'exception à cette prescription. Jusqu'à ce stade, le raisonnement du Tribunal de police peut donc être avalisé. En revanche, c'est à juste titre que la recourante invoque un formalisme excessif. Son cas ne diffère en effet guère de celui examiné par le Tribunal fédéral dans l'ATF 142 I 10 , dans lequel celui-ci a jugé qu'il convenait d'impartir à l'intéressé un bref délai pour réparer le vice de forme affectant l'acte accompli. La recourante ne saurait dès lors être pénalisée par le fait que le Ministère public a admis la validité de l'opposition, après s'être assuré qu'elle correspondait à sa volonté, sans exiger d'elle qu'elle appose sa signature personnelle sur le courrier, étant relevé que ce dernier, hormis le défaut de signature valable, a été déposé dans la forme et le délai prescrits. À cela s'ajoute que l'on ne saurait voir, dans l'informalité relevée, une tentative de prolonger sciemment le délai d'opposition. La mise en place d'une curatelle démontre que la recourante est particulièrement vulnérable et qu'à tout le moins, elle n'est pas à même d'assurer elle-même la gestion de ses affaires administratives et juridiques, sans pour autant que les conditions restrictives d'une limitation de l'exercice de ses droits civils soient réalisées. Le fait de consulter sa curatrice à réception de l'ordonnance pénale afin de l'aider à déterminer la suite qu'il convenait de lui donner est par conséquent une démarche adéquate. Que la curatrice ait, par erreur, estimé qu'elle était habilitée à faire opposition au nom et pour le compte de sa pupille, ne saurait avoir de conséquences préjudiciables aux intérêts de celle-ci, dont la situation peut, sur ce point, être assimilée à un cas de défense obligatoire (cf. ATF 143 I 284 consid. 1.3).</w:t>
      </w:r>
    </w:p>
    <w:p>
      <w:r>
        <w:rPr>
          <w:b/>
        </w:rPr>
        <w:t>E. 3</w:t>
      </w:r>
    </w:p>
    <w:p>
      <w:r>
        <w:t>Fondé, le recours doit être admis ; partant, l'ordonnance querellée sera annulée et la cause renvoyée au Tribunal de police pour qu'il traite l'opposition.</w:t>
      </w:r>
    </w:p>
    <w:p>
      <w:r>
        <w:rPr>
          <w:b/>
        </w:rPr>
        <w:t>E. 4</w:t>
      </w:r>
    </w:p>
    <w:p>
      <w:r>
        <w:t>L'admission du recours ne donne pas lieu à la perception de frais (art. 428 al. 1 CPP).</w:t>
      </w:r>
    </w:p>
    <w:p>
      <w:r>
        <w:rPr>
          <w:b/>
        </w:rPr>
        <w:t>E. 5</w:t>
      </w:r>
    </w:p>
    <w:p>
      <w:r>
        <w:t>La recourante a sollicité d'être mise au bénéfice de l'assistance juridique pour la procédure de recours. La défense d'office accordée le 5 décembre 2023 demeure toutefois pleinement valable, l'obligation de déposer une nouvelle demande pour la procédure de recours n'étant exigée que pour la partie plaignante et la victime, mais non pour le prévenu (art. 136 al. 3 CPP). L'on ne se trouve par ailleurs pas en présence d'une procédure de recours contre une décision prise par la direction de la procédure sur un point accessoire de la procédure principale, comme c'est le cas en matière de décision de détention avant jugement, qui commanderait d'examiner les chances de succès de la démarche comme critère autonome (cf. arrêt du Tribunal fédéral 6B_363/2022 du 26 septembre 2022 consid. 3.4). Le défenseur d'office sera dès lors indemnisé, pour l'activité accomplie dans le cadre de la présente procédure de recours,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