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P/8181/2013 vom 29. Juni 2015</w:t>
      </w:r>
    </w:p>
    <w:p>
      <w:r>
        <w:t>GE Cour de justice, 2015-06-29, FR</w:t>
      </w:r>
    </w:p>
    <w:p>
      <w:r>
        <w:rPr>
          <w:b/>
        </w:rPr>
        <w:t xml:space="preserve">Quelle: </w:t>
      </w:r>
      <w:r>
        <w:t>https://mcp.opencaselaw.ch/entscheid/ge_gerichte_P_8181_2013</w:t>
      </w:r>
    </w:p>
    <w:p>
      <w:r>
        <w:t>FR: GE_GERICHTE P/8181/2013 du 29 juin 2015</w:t>
      </w:r>
    </w:p>
    <w:p>
      <w:r>
        <w:t>IT: GE_GERICHTE P/8181/2013 del 29 giugno 2015</w:t>
      </w:r>
    </w:p>
    <w:p>
      <w:pPr>
        <w:pStyle w:val="Heading2"/>
      </w:pPr>
      <w:r>
        <w:t>Regeste</w:t>
      </w:r>
    </w:p>
    <w:p>
      <w:r>
        <w:t>FIXATION DE LA PEINE; PEINE COMPLÉMENTAIRE; CONSOMMATION DE STUPÉFIANTS; CIRCULATION SANS PERMIS DE CIRCULATION; NÉGLIGENCE; PRÉSOMPTION D'INNOCENCE | CEDH.6.2; LStup.19.1; LStup.19a.1; LCR.95.1.e; LEtr.115; CP.41.1; CP 49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la CPAR n'examinera pas la réalisation des conditions des infractions à l'art. 115 LEtr et de consommation intentionnelle de stupéfiants (art. 19a al. 1 LStup), réalisées à teneur du dossier et non contestées au stade de l'appel, qui ne porte, à cet égard, que sur la peine devant les sanctionner.</w:t>
      </w:r>
    </w:p>
    <w:p>
      <w:r>
        <w:rPr>
          <w:b/>
        </w:rPr>
        <w:t>E. 1.2.1</w:t>
      </w:r>
    </w:p>
    <w:p>
      <w:r>
        <w:t>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w:t>
      </w:r>
    </w:p>
    <w:p>
      <w:r>
        <w:rPr>
          <w:b/>
        </w:rPr>
        <w:t>E. 1.2.2</w:t>
      </w:r>
    </w:p>
    <w:p>
      <w:r>
        <w:t>La consommation de stupéfiants est passible d'une amende (art. 19a LStup).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détention correspond schématiquement à CHF 100.- d'amende (R. ROTH/L. MOREILLON, Commentaire romand du Code pénal I , Bâle 2009, n. 19 ad art. 106).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w:t>
      </w:r>
    </w:p>
    <w:p>
      <w:r>
        <w:rPr>
          <w:b/>
        </w:rPr>
        <w:t>E. 1.3</w:t>
      </w:r>
    </w:p>
    <w:p>
      <w:r>
        <w:t>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Le séjour illégal est un délit continu.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4.2 p. 11 ; arrêt du Tribunal fédéral 6B_1226/2013 du 31 mars 2014 consid. 1.1). 3.2.1.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3.2.3.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p. 97 ; arrêts du Tribunal fédéral 6B_787/2014 du 27 novembre 2014 consid. 1.3.2 et 6B_262/2012 du 4 octobre 2012 consid. 1.3.2). 3.3.1.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rPr>
          <w:b/>
        </w:rPr>
        <w:t>E. 2.2</w:t>
      </w:r>
    </w:p>
    <w:p>
      <w:r>
        <w:t>L'art. 19 al. 1 let. c LStup punit d'une peine privative de liberté de trois ans au plus ou d'une peine pécuniaire celui qui, sans droit, aliène ou prescrit des stupéfiants, en procure de toute autre manière à un tiers ou en met dans le commerce. Selon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à condition que ces actes n'aient pas pu conduire concrètement à la consommation de tiers (ATF 108 IV 198 consid. b ; SJ 1996 p. 341). Il faut que l'acte soit destiné exclusivement à permettre à l'auteur de se procurer la drogue pour sa propre consommation. Les actes comme la vente qui conduisent à la consommation de stupéfiants par des tiers ou qui créent un risque concret d'aboutir à ce résultat ne peuvent bénéficier du traitement privilégié prévu par l'art. 19a LStup (ATF 119 IV 180 consid. 2a p. 183 ; ATF 118 IV 200 consid. d p. 204 ; SJ 1996 p. 341) ; le cas privilégié suppose l'absence de mise en danger d'autrui (B. CORBOZ, Les infractions en droit suisse , 2 e éd., Berne 2010, n. 120 ad art. 19 et les références citées). Par conséquent, celui qui, ne serait-ce que pour satisfaire ses propres besoins, se livre au trafic, vend ou permet à autrui, soit à des consommateurs potentiels, de se procurer de la drogue ne peut se prévaloir de l'article 19a al. 1 LStup (SJ 1996 p. 341).</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3.3</w:t>
      </w:r>
    </w:p>
    <w:p>
      <w:r>
        <w:t>.2.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3.4.1. En l'espèce, l'appelant a vendu de petites quantités d'une drogue aux effets nocifs mais certainement moins dévastateurs que des drogues dures. Lui sont reprochées des transactions de faible valeur et non un trafic à plus grande échelle ou un commerce lui assurant ses revenus. La faute de l'appelant ne peut toutefois être qualifiée de bénigne. Ses motivations relèvent d'un appât du gain facile, certes destiné à assurer sa propre consommation. La précarité de sa situation administrative ne justifie pas qu'il se soit tourné vers la délinquance. L'appelant a par ailleurs enfreint d'autres normes pénales appelant le prononcé d'une peine du même genre. Ce concours exige une augmentation de la peine dans une juste proportion. L'infraction par négligence à la LCR dénote une certaine nonchalance vis-à-vis des règles juridiques en vigueur. Le séjour illégal reproché, de plus de six ans sous réserve de quelques interruptions, illustre un mépris de la législation, l'appelant n'ayant en tout état rien entrepris à la suite de sa condamnation pour séjour illégal en 2008 pour remédier à sa situation. La collaboration à la procédure doit être qualifiée de moyenne, la portée de la reconnaissance immédiate de faits incontestables à teneur du dossier pouvant être relativisée et l'appelant s'étant contenté de maintenir sa vision des faits pour le surplus. La prise de conscience de l'appelant est limitée s'agissant des infractions à la LEtr, aux vagues déclarations relatives à l'organisation d'un prochain départ de Suisse n'ayant succédé aucune démarche concrète à teneur du dossier. Il ne fait preuve d'aucune remise en question concernant les stupéfiants, alors qu'il a déjà été condamné pour des délits de cette nature à quatre reprises. Il sera toutefois relevé que l'appelant semble souffrir d'addictions et que sa situation personnelle a pu être gravement péjorée depuis le printemps 2014. Ainsi que l'a retenu le premier juge, un sursis est inenvisageable vu les antécédents spécifiques de l'appelant et le risque de réitération en l'absence de modification de la situation personnelle de l'appelant. Vu son statut administratif, un travail d'intérêt général n'entre pas en considération, ce qui n'est au demeurant pas plaidé. Les peines pourtant plus sévères qui ont été infligées à l'appelant par le passé étant restées sans effet, le prononcé d'une peine pécuniaire ne serait manifestement pas assez dissuasif pour le détourner de comportements similaires. Pour ces motifs, seule entre en considération une courte peine privative de liberté. La peine à prononcer est complémentaire à celle du 11 septembre 2014, point qui a été méconnu par le Tribunal de police, mais peut être revu par la CPAR même en l'absence de grief spécifique à cet égard afin d'éviter une décision inéquitable (art. 404 al. 2 CPP). Si la CPAR avait eu à connaître de l'ensemble des infractions reprochées, elle aurait arrêté, compte tenu de la gravité de la faute de l'appelant, du concours et des éléments de sa situation personnelle, une peine de six mois de privation de liberté. Le jugement entrepris sera dès lors réformé en ce sens que l'appelant est condamné à une peine privative de liberté de quatre mois, dite peine étant complémentaire à celle prononcée le 11 septembre 2014. 3.4.2. L'amende fixée par le premier juge pour l'infraction à l’art. 19a LStup n'est pas critiquable. En effet, les quantités de stupéfiants détenues par l'appelant n'étaient pas négligeables, notamment le 29 mai 2013. Au demeurant, le montant de l'amende est dans la fourchette inférieure de l'échelle fixée par l'art. 106 al. 1 CP. Le jugement entrepris sera donc aussi confirmé sur ce point.</w:t>
      </w:r>
    </w:p>
    <w:p>
      <w:r>
        <w:rPr>
          <w:b/>
        </w:rPr>
        <w:t>E. 4</w:t>
      </w:r>
    </w:p>
    <w:p>
      <w:r>
        <w:t>L'appelant, qui obtient très partiellement gain de cause, supportera les trois quarts des frais de la procédure d'appel (art. 428 CPP), qui comprennent un émolument de jugement de CHF 1'800.- (art. 14 let. e du Règlement fixant le tarif des frais en matière pénale du 22 décembre 2010 [RTFMP ; E 4 10.03]), le solde étant laissé à la charge de l'Etat.</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6 janvier 2015. 5.2.1.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5.2.2.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5.3</w:t>
      </w:r>
    </w:p>
    <w:p>
      <w:r>
        <w:t>En l'espèce, l'état de frais et honoraires de M e B______, comprenant 2h30 d'activité de chef d'étude au tarif horaire de CHF 200.-, est adéquat et conforme aux principes sus exposés. Il convient d'y ajouter le temps de l'audience d'appel, soit 30 minutes. Au vu de ce qui précède, l'indemnisation sera accordée à hauteur de CHF 777.60 (indemnité forfaitaire de 20% [CHF 120.-] et TVA à 8% [CHF 57.60]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