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P/8160/2025 vom 16. April 2025</w:t>
      </w:r>
    </w:p>
    <w:p>
      <w:r>
        <w:t>GE Cour de justice, 2025-04-16, FR</w:t>
      </w:r>
    </w:p>
    <w:p>
      <w:r>
        <w:rPr>
          <w:b/>
        </w:rPr>
        <w:t xml:space="preserve">Quelle: </w:t>
      </w:r>
      <w:r>
        <w:t>https://mcp.opencaselaw.ch/entscheid/ge_gerichte_P_8160_2025</w:t>
      </w:r>
    </w:p>
    <w:p>
      <w:r>
        <w:t>FR: GE_GERICHTE P/8160/2025 du 16 avril 2025</w:t>
      </w:r>
    </w:p>
    <w:p>
      <w:r>
        <w:t>IT: GE_GERICHTE P/8160/2025 del 16 aprile 2025</w:t>
      </w:r>
    </w:p>
    <w:p>
      <w:pPr>
        <w:pStyle w:val="Heading2"/>
      </w:pPr>
      <w:r>
        <w:t>Regeste</w:t>
      </w:r>
    </w:p>
    <w:p>
      <w:r>
        <w:t>PROFIL D'ADN;VOL(DROIT PÉNAL) | CPP.255.al1bis; CP.139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w:t>
      </w:r>
    </w:p>
    <w:p>
      <w:r>
        <w:rPr>
          <w:b/>
        </w:rPr>
        <w:t>E. 2</w:t>
      </w:r>
    </w:p>
    <w:p>
      <w:r>
        <w:t>Le recourant se plaint d'une violation de son droit d'être entendu.</w:t>
      </w:r>
    </w:p>
    <w:p>
      <w:r>
        <w:rPr>
          <w:b/>
        </w:rPr>
        <w:t>E. 2.1</w:t>
      </w:r>
    </w:p>
    <w:p>
      <w:r>
        <w:t>Le droit d'être entendu, tel qu'il est garanti par l'art. 29 al. 2 Cst.,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(ATF 143 IV 40 consid. 3.4.3 ; 142 I 135 consid. 2.1).</w:t>
      </w:r>
    </w:p>
    <w:p>
      <w:r>
        <w:rPr>
          <w:b/>
        </w:rPr>
        <w:t>E. 2.2</w:t>
      </w:r>
    </w:p>
    <w:p>
      <w:r>
        <w:t>En l'espèce, la motivation du Ministère public, sous forme de "croix" sur un document pré-rempli, est certes succincte. Il n'en demeure pas moins qu'elle répond à l'exigence légale précitée, en tant qu'elle fait référence à la procédure pénale dirigée contre le prévenu et au rapport de police en lien avec les faits ayant donné lieu à son interpellation, le 3 avril 2025, précisant que la police avait indiqué dans celui-ci pour quelles raisons ce prélèvement se justifiait, à savoir en raison des infractions de vol reprochées. Telle motivation permettait dès lors au recourant de comprendre la décision et de la contester dans la cadre de son recours, ce qu'il a au demeurant fait. Partant, le grief est infondé.</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3.3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3.4</w:t>
      </w:r>
    </w:p>
    <w:p>
      <w:r>
        <w:t>En l'espèce, l'établissement du profil d'ADN du recourant a été ordonné pour élucider, non pas les infractions en cours d'instruction, mais d'autres infractions, plus précisément des vols, dès lors qu'il avait déjà été soupçonné de la commission de tels faits et même condamné pour cela. Il existe en effet des indices sérieux et concrets de la commission, par l'intéressé, d'infractions (passées) au patrimoine. Tout d'abord, il a déjà été condamné pour vol le 20 mars 2018, puis, le 22 août 2023, par la Chambre pénale d'appel et de révision pour une autre infraction au patrimoine sous la forme d'une escroquerie par métier, et encore, par ordonnance pénale du Ministère public du 28 décembre 2024 pour vol notamment. Quand bien même cette dernière condamnation n'est pas entrée en force à la suite de son opposition à l'ordonnance pénale, ses antécédents semblent dénoter chez lui un ancrage certain dans la délinquance. Le fait qu'il soit sans emploi accentue ensuite la crainte qu'il pourrait être impliqué dans d'autres vols, en particulier, encore inconnus des autorités, qui pourraient lui être attribués si l'on était en mesure de comparer son profil d'ADN à des traces prélevées sur les lieux de leurs commissions. Enfin, les infractions à l'art. 139 CP susceptibles d'être élucidées revêtent une certaine gravité. Il s'agit d'ailleurs d'un des cas expressément listés par la Directive A.5 du Procureur général (cf. n. 4.3), laquelle est fondée sur l'art. 255 al. 1 bis CPP, qui justifie l'établissement d'un profil d'ADN pour les infractions passées. Partant, la mesure querellée, dont les conditions légales sont réalisées, n'apparaît ni injustifiée ni disproportionnée.</w:t>
      </w:r>
    </w:p>
    <w:p>
      <w:r>
        <w:rPr>
          <w:b/>
        </w:rPr>
        <w:t>E. 4</w:t>
      </w:r>
    </w:p>
    <w:p>
      <w:r>
        <w:t>Justifiée, l'ordonnance attaquée sera donc confirmée. Le recours, qui s'avère mal fondé, pouvait d'emblée être traité sans échange d'écritures ni débats (art. 390 al. 2 et 5 a contrario CPP).</w:t>
      </w:r>
    </w:p>
    <w:p>
      <w:r>
        <w:rPr>
          <w:b/>
        </w:rPr>
        <w:t>E. 5</w:t>
      </w:r>
    </w:p>
    <w:p>
      <w:r>
        <w:t>Le recourant, qui succombe, supportera les frais envers l'État, fixés en totalité à CHF 600.- (art. 428 al. 1 CPP et 13 al. 1 du Règlement fixant le tarif des frais en matière pénale, RTFMP;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Il sera statué sur l'indemnité du défenseur d'office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