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P/8144/2025 vom 8. Mai 2025</w:t>
      </w:r>
    </w:p>
    <w:p>
      <w:r>
        <w:t>GE Cour de justice, 2025-05-08, FR</w:t>
      </w:r>
    </w:p>
    <w:p>
      <w:r>
        <w:rPr>
          <w:b/>
        </w:rPr>
        <w:t xml:space="preserve">Quelle: </w:t>
      </w:r>
      <w:r>
        <w:t>https://mcp.opencaselaw.ch/entscheid/ge_gerichte_P_8144_2025</w:t>
      </w:r>
    </w:p>
    <w:p>
      <w:r>
        <w:t>FR: GE_GERICHTE P/8144/2025 du 8 mai 2025</w:t>
      </w:r>
    </w:p>
    <w:p>
      <w:r>
        <w:t>IT: GE_GERICHTE P/8144/2025 del 8 maggio 2025</w:t>
      </w:r>
    </w:p>
    <w:p>
      <w:pPr>
        <w:pStyle w:val="Heading2"/>
      </w:pPr>
      <w:r>
        <w:t>Regeste</w:t>
      </w:r>
    </w:p>
    <w:p>
      <w:r>
        <w:t>DÉTENTION PROVISOIRE;RISQUE DE COLLUSION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considère que ses déclarations à la police du 8 avril 2025 ne seraient pas exploitables car tenues en l'absence d'un avocat de la première heure et d'un interprète.</w:t>
      </w:r>
    </w:p>
    <w:p>
      <w:r>
        <w:rPr>
          <w:b/>
        </w:rPr>
        <w:t>E. 2.1</w:t>
      </w:r>
    </w:p>
    <w:p>
      <w:r>
        <w:t>Selon l'art. 130 let. b CPP, le prévenu doit avoir un défenseur notamment lorsqu'il encourt une peine privative de liberté de plus d'un an, une mesure entraînant une privation de liberté ou une expulsion. La direction de la procédure pourvoit à ce que le prévenu soit assisté aussitôt d'un défenseur (art. 131 al. 1 CPP). Si les conditions d'une telle défense sont remplies lors de l'ouverture de la procédure préliminaire, la défense doit être mise en œuvre avant la première audition exécutée par le ministère public ou, en son nom, par la police (art. 131 al. 2 CPP). À défaut, les preuves administrées ne sont exploitables qu'à condition que le prévenu renonce à en répéter l'administration (art. 131 al. 3 CPP). Même si la question est controversée en doctrine, le Tribunal fédéral a confirmé, à plusieurs reprises, que le Code de procédure pénale ne prévoyait pas de droit à une " défense obligatoire de la première heure " lors du premier interrogatoire dans le cadre de l'investigation policière (c'est-à-dire avant l'ouverture de l'instruction pénale); la défense obligatoire ne commençait qu'après l'enquête préliminaire de la police (art. 131 al. 2 CPP), même si celle-ci visait une infraction pour laquelle un défenseur obligatoire devrait être en principe désigné (arrêts du Tribunal fédéral 1B_464/2022 du 10 novembre 2022, 1B 159/2022 du 13 avril 2022 consid. 4.5.3, 6B 322/2021 du 2 mars 2022 consid. 1.3 et les références citées).</w:t>
      </w:r>
    </w:p>
    <w:p>
      <w:r>
        <w:rPr>
          <w:b/>
        </w:rPr>
        <w:t>E. 2.2</w:t>
      </w:r>
    </w:p>
    <w:p>
      <w:r>
        <w:t>Nonobstant l'art. 8A de la loi sur la profession d'avocat (LPav), qui règle le système de permanence de l'avocat de la première heure, et la liste établie par la Commission du barreau qui mentionne les infractions graves pour lesquelles un avocat de permanence peut être mis en œuvre – au nombre desquelles figure l'art. 19 al. 2 LStup –, les droits et obligations relatifs à l'intervention d'un défenseur sont exclusivement régis par le CPP, l'art. 8A LPAv et la liste susvisée fondant uniquement une obligation pour la profession de mettre sur pied une permanence (Directive du Procureur général C.8, art. 3.4).</w:t>
      </w:r>
    </w:p>
    <w:p>
      <w:r>
        <w:rPr>
          <w:b/>
        </w:rPr>
        <w:t>E. 2.3</w:t>
      </w:r>
    </w:p>
    <w:p>
      <w:r>
        <w:t>En l'espèce, le recourant a été entendu le 8 avril 2025 par la police dans le cadre de l'investigation policière. Une défense obligatoire n'avait ainsi pas à être mise en œuvre à ce stade. Par ailleurs, le recourant a été dûment informé, en arabe, de ses droits lors de son audition par la police, et a expressément consenti à être entendu hors la présence d'un défenseur et sans interprète. Il a, d'ailleurs, lors de son audition du 14 avril 2025 au Ministère public, en présence de son conseil et d'un interprète, préféré s'exprimer en français plutôt qu'en arabe. Le grief sera donc rejeté.</w:t>
      </w:r>
    </w:p>
    <w:p>
      <w:r>
        <w:rPr>
          <w:b/>
        </w:rPr>
        <w:t>E. 3</w:t>
      </w:r>
    </w:p>
    <w:p>
      <w:r>
        <w:t>Le recourant se plaint d'une constatation incomplète des faits par le TMC. Dès lors que la Chambre de céans jouit d'un plein pouvoir d'examen en droit et en fait (art. 398 al. 2 CPP; arrêt du Tribunal fédéral 7B_235/2024 du 23 août 2024 consid. 2.3), les éventuelles constatations incomplètes ou inexactes du TMC auront été corrigées dans l'état de fait établi ci-devant.</w:t>
      </w:r>
    </w:p>
    <w:p>
      <w:r>
        <w:rPr>
          <w:b/>
        </w:rPr>
        <w:t>E. 4</w:t>
      </w:r>
    </w:p>
    <w:p>
      <w:r>
        <w:t>Les charges ne sont pas discutées. Il n'y a donc pas à y revenir mais à renvoyer, en tant que de besoin, à la motivation adoptée par le premier juge (art. 82 al. 4 CPP; ACPR/747/2020 du 22 octobre 2020 consid. 2 et les références).</w:t>
      </w:r>
    </w:p>
    <w:p>
      <w:r>
        <w:rPr>
          <w:b/>
        </w:rPr>
        <w:t>E. 5</w:t>
      </w:r>
    </w:p>
    <w:p>
      <w:r>
        <w:t>Le recourant conteste le risque de collusion.</w:t>
      </w:r>
    </w:p>
    <w:p>
      <w:r>
        <w:rPr>
          <w:b/>
        </w:rPr>
        <w:t>E. 5.1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5.2</w:t>
      </w:r>
    </w:p>
    <w:p>
      <w:r>
        <w:t>En l'espèce, l'instruction ne fait que commencer. Il existe, à ce stade, un risque manifeste et concret de collusion entre le recourant et les autres personnes impliquées dans le trafic de haschisch, en particulier le fournisseur, ce d'autant plus que l'analyse du téléphone du recourant vient d'être ordonnée et qu'elle est susceptible d'amener à l'audition d'éventuels complices afin de déterminer le rôle exact joué par le recourant et de préciser l'ampleur de son trafic. Par ailleurs, il y a tout lieu de craindre qu'il chercherait à influencer sa compagne sur les déclarations qu'elle sera amenée à faire dans le cadre du trafic qui s'est tenu dans leur logement et dans l'appartement voisin. À ce stade de l'instruction, ce risque est ainsi très élevé et ne saurait être pallié par une éventuelle interdiction de contact, les autres personnes impliquées n'étant, en l'état, pas identifiées. Aucune autre mesure de substitution n'est envisageable – étant relevé que les autres mesures de substitution proposées [présentation aux convocations; obligation d'informer de tout changement dans sa situation personnelle et son lieu de résidence] ne se rapportent pas au risque de collusion. Partant, la détention provisoire demeure nécessaire pour pallier le risque de collusion retenu.</w:t>
      </w:r>
    </w:p>
    <w:p>
      <w:r>
        <w:rPr>
          <w:b/>
        </w:rPr>
        <w:t>E. 6</w:t>
      </w:r>
    </w:p>
    <w:p>
      <w:r>
        <w:t>L'admission du risque, clair, de collusion dispense d'examiner s'il s'y ajouterait des risques de fuite et de réitération (arrêts du Tribunal fédéral 1B_34/2023 du 13 février 2023 consid. 3.3.; 1B_51/2021 du 31 mars 2021 consid. 3.1.; 1B_322/2019 du 17 juillet 2019 consid. 3.3).</w:t>
      </w:r>
    </w:p>
    <w:p>
      <w:r>
        <w:rPr>
          <w:b/>
        </w:rPr>
        <w:t>E. 7</w:t>
      </w:r>
    </w:p>
    <w:p>
      <w:r>
        <w:t>7.1. 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7.2</w:t>
      </w:r>
    </w:p>
    <w:p>
      <w:r>
        <w:t>En l'espèce, la durée de la mise en détention provisoire ordonnée respecte le principe susmentionné, eu égard aux charges suffisantes et graves retenues. Cette durée apparaît en outre nécessaire pour les besoins de l'instruction, en particulier pour analyser le téléphone du prévenu et identifier ses éventuels comparses et clients. Le grief est ainsi rejeté.</w:t>
      </w:r>
    </w:p>
    <w:p>
      <w:r>
        <w:rPr>
          <w:b/>
        </w:rPr>
        <w:t>E. 8</w:t>
      </w:r>
    </w:p>
    <w:p>
      <w:r>
        <w:t>Justifiée, l'ordonnance querellée sera donc confirmée.</w:t>
      </w:r>
    </w:p>
    <w:p>
      <w:r>
        <w:rPr>
          <w:b/>
        </w:rPr>
        <w:t>E. 9</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