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P/8137/2025 vom 24. Juni 2025</w:t>
      </w:r>
    </w:p>
    <w:p>
      <w:r>
        <w:t>GE Cour de justice, 2025-06-24, FR</w:t>
      </w:r>
    </w:p>
    <w:p>
      <w:r>
        <w:rPr>
          <w:b/>
        </w:rPr>
        <w:t xml:space="preserve">Quelle: </w:t>
      </w:r>
      <w:r>
        <w:t>https://mcp.opencaselaw.ch/entscheid/ge_gerichte_P_8137_2025</w:t>
      </w:r>
    </w:p>
    <w:p>
      <w:r>
        <w:t>FR: GE_GERICHTE P/8137/2025 du 24 juin 2025</w:t>
      </w:r>
    </w:p>
    <w:p>
      <w:r>
        <w:t>IT: GE_GERICHTE P/8137/2025 del 24 giugno 2025</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1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La juridiction d'appel est compétente pour statuer sur l'observation du délai de l'annonce d'appel (art. 403 al. 1 let. a CPP). Cela vaut également lorsque le respect du délai de l'annonce d'appel détermine si le jugement de première instance doit être motivé ultérieurement par écrit (art. 82 al. 2 let. b CPP). Dans pareil cas, pour des raisons d'économie de procédure et afin d'éviter de contourner l'art. 82 al. 2 let. a CPP, le tribunal de première instance doit pouvoir - contrairement à ce que prévoit l'art. 399 al. 2 CPP - transmettre à la juridiction d'appel compétente, l'annonce d'appel accompagnée d'une demande de non-entrée en matière, sans motivation écrite du jugement de première instance, lorsqu'il estime que l'annonce d'appel est tardive et que la motivation écrite du jugement de première instance au sens de l'art. 82 al. 1 et 2 let. b CPP n'est pas nécessaire. Si la juridiction d'appel considère que l'annonce d'appel est recevable, le jugement de première instance doit être motivé ultérieurement par écrit (arrêt du Tribunal fédéral 150 IV 342 , consid. 5).</w:t>
      </w:r>
    </w:p>
    <w:p>
      <w:r>
        <w:rPr>
          <w:b/>
        </w:rPr>
        <w:t>E. 1.3</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rPr>
          <w:b/>
        </w:rPr>
        <w:t>E. 1.4</w:t>
      </w:r>
    </w:p>
    <w:p>
      <w:r>
        <w:t>La Chambre limite son examen aux violations décrites dans l'acte d'appel (art. 404 al. 1 CPP), sauf en cas de décisions illégales ou inéquitables (art. 404 al. 2 CPP).</w:t>
      </w:r>
    </w:p>
    <w:p>
      <w:r>
        <w:rPr>
          <w:b/>
        </w:rPr>
        <w:t>E. 2</w:t>
      </w:r>
    </w:p>
    <w:p>
      <w:r>
        <w:t>En l'espèce, le dispositif du jugement de première instance a été notifié à l'appelant le 6 mai 2025, assorti d'une brève motivation orale. Il rappelait expressément la teneur de l'art. 399 CPP. Le délai de dix jours pour déposer l'annonce d'appel venait donc à échéance le vendredi 16 mai 2025. L'appelant ayant annoncé appel postérieurement au délai de 10 jours, cette annonce est tardive et donc irrecevable. Le TP n'a pas à motiver son jugement.</w:t>
      </w:r>
    </w:p>
    <w:p>
      <w:r>
        <w:rPr>
          <w:b/>
        </w:rPr>
        <w:t>E. 3</w:t>
      </w:r>
    </w:p>
    <w:p>
      <w:r>
        <w:t>Frais La partie dont l'appel est irrecevable est considérée comme ayant succombé ; elle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