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P/8108/2017 vom 8. April 2021</w:t>
      </w:r>
    </w:p>
    <w:p>
      <w:r>
        <w:t>GE Cour de justice, 2021-04-08, FR</w:t>
      </w:r>
    </w:p>
    <w:p>
      <w:r>
        <w:rPr>
          <w:b/>
        </w:rPr>
        <w:t xml:space="preserve">Quelle: </w:t>
      </w:r>
      <w:r>
        <w:t>https://mcp.opencaselaw.ch/entscheid/ge_gerichte_P_8108_2017</w:t>
      </w:r>
    </w:p>
    <w:p>
      <w:r>
        <w:t>FR: GE_GERICHTE P/8108/2017 du 8 avril 2021</w:t>
      </w:r>
    </w:p>
    <w:p>
      <w:r>
        <w:t>IT: GE_GERICHTE P/8108/2017 del 8 aprile 2021</w:t>
      </w:r>
    </w:p>
    <w:p>
      <w:pPr>
        <w:pStyle w:val="Heading2"/>
      </w:pPr>
      <w:r>
        <w:t>Regeste</w:t>
      </w:r>
    </w:p>
    <w:p>
      <w:r>
        <w:t>CIRCULATION ROUTIÈRE(DROIT DE LA CIRCULATION ROUTIÈRE);VIOLATION DES RÈGLES DE LA CIRCULATION;DISPOSITIONS PÉNALES DE LA LCR;CONDUITE MALGRÉ UNE INCAPACITÉ;CANNABIS;PEINE PRIVATIVE DE LIBERTÉ;PEINE PÉCUNIAIRE;FIXATION DE LA PEINE;SURSIS À L'EXÉCUTION DE LA PEINE;ATTÉNUATION DE LA PEINE;PRINCIPE DE LA CÉLÉRITÉ;CONCOURS D'INFRACTIONS;PÉRIODE D'ESSAI;LEX MITIOR | LCR.90.al2; LCR.91.al2.letb; LCR.92.al1; CP.286; CP.144; CP.129; CP.47; CP.48.lete; CP.49; CP.44; CP.19.al4; aCP.34.al2; LStup.19a; CPP.5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2.1</w:t>
      </w:r>
    </w:p>
    <w:p>
      <w:r>
        <w:t>La peine menace des art. 90 al. 2 et 91 al. 2 LCR, ainsi que 144 CP est une peine privative de liberté de trois ans au plus ou une peine pécuniaire. L'infraction à l'art. 286 CP est passible d'une peine pécuniaire de 30 jours-amende au plus. 2.2.1.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De même, sont à considérer la mesure dans laquelle celui-ci aurait pu éviter la mise en danger ou la lésion, compte tenu de sa situation personnelle et des circonstances extérieures.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2.2.2. Ces principes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mais également de son efficacité en termes de prévention. Ce critère d'efficacité est autant décisif pour la détermination de la sanction que pour en fixer la durée. La faute de l'auteur n'est en revanche pas déterminante, pas plus que sa situation économique ou le fait que son insolvabilité apparaisse prévisible (ATF 144 IV 313 consid. 1.1.1 ; 137 II 297 consid. 2.3.4 ; 134 IV 97 consid. 4.2 et 5.2.3 ; arrêts du Tribunal fédéral 6B_1249/2014 du 7 septembre 2015 consid. 1.2 ; 6B_420/2017 du 15 novembre 2017 consid. 2.1).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Celle-ci porte atteinte au patrimoine de l'intéressé et constitue donc une sanction plus clémente qu'une peine privative de liberté, qui l'atteint dans sa liberté personnelle (ATF 144 IV 313 consid. 1.1.1 ; 134 IV 97 consid. 4.2.2). 2.2.3. Selon l'art. 48 let. e CP, le juge atténue la peine si l'intérêt à punir a sensiblement diminué en raison du temps écoulé depuis l'infraction et que l'auteur s'est bien comporté dans l'intervalle. Une telle atténuation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Il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2.2.4. Les art. 29 al. 1 de la Constitution fédérale de la Confédération suisse (Cst.) et 5 CPP garantissent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Le caractère raisonnable du délai s'apprécie selon les circonstances particulières de la cause, eu égard notamment à la complexité de l'affaire, à l'enjeu du litige pour l'intéressé, à son comportement ainsi qu'à celui des autorités compétentes (ATF 135 I 265 consid. 4.4 ; 130 I 312 consid. 5.1 ; 143 IV 373 consid. 1.3.1). La violation du principe de la célérité peut avoir pour conséquence la diminution de la peine, parfois l'exemption de toute peine ou encore une ordonnance de classement en tant qu' ultima ratio dans les cas les plus extrêmes (ATF 135 IV 12 consid 3.6 ; 143 IV 373 consid. 1.4.1). A cet égard, il appartient au justiciable d'entreprendre ce qui est en son pouvoir pour que l'autorité fasse diligence, que ce soit en l'invitant à accélérer la procédure ou en recourant, le cas échéant, pour retard injustifié (ATF 130 I 312 consid. 5.2).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l'organisation judiciaire (ATF 130 IV 54 consid. 3.3.3 ; arrêt du Tribunal fédéral 6B_122/2017 du 8 janvier 2019 consid. 11.7.1). Après la clôture de l'instruction, le prévenu doit en principe être renvoyé devant le juge du fond dans un délai qui ne devrait pas excéder quelques semaines, voire quelques mois. Un délai de plusieurs mois peut se révéler nécessaire dans des procès particulièrement complexes, aux multiples ramifications, impliquant plusieurs inculpés et nécessitant une préparation méticuleuse des débats et de nombreux actes d'instruction. Ainsi, dans ce genre d'affaires, un délai de six à huit mois et demi entre la mise en accusation et l'ouverture des débats est encore conforme au principe de célérité. En revanche, en l'absence de circonstances particulières, des délais de sept mois ou de cinq mois et demi s'expliquant uniquement par des motifs d'ordre organisationnel sont incompatibles avec ledit principe, alors qu'un délai de quatre mois est encore admissible (arrêt du Tribunal fédéral 1B_585/2019 du 30 décembre 2019 consid. 3.1). 2.2.5. Conformément à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du même genre de peine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Le prononcé d'une peine unique dans le sens d'un examen global de tous les délits à juger n'est pas possible (ATF 144 IV 217 consid. 3.5.4 ; 144 IV 313 consid. 1.1.2). 2.2.6.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 2.3.1. La réforme du droit des sanctions entrée en vigueur le 1 er janvier 2018 marque, globalement, un durcissement du droit des sanctions. A l'aune de l'art. 2 CP, elle est en règle générale moins favorable à la personne condamnée (Message relatif à la modification du code pénal et du code pénal militaire du 4 avril 2012, FF 2012 4385 ss ; M. DUPUIS / L. MOREILLON / C. PIGUET / S. BERGER / M. MAZOU / V. RODIGARI [éds], Code pénal - Petit commentaire , 2 e éd., Bâle 2017, Rem. prél. ad art. 34 à 41, n. 2 ss). La peine pécuniaire est désormais de trois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2.3.2. Selon l'art. 34 al. 2 2 e ph. a CP, le montant du jour-amende est fixé en fonction de la situation personnelle et économique de l'auteur au moment du jugement, notamment en tenant compte de son revenu et de sa fortune, de son mode de vie, de ses obligations d'assistance, en particulier familiales, et du minimum vital. Le tribunal part du revenu que l'auteur réalise en moyenne quotidiennement, quelle qu'en soit la source, car c'est la capacité économique réelle de fournir une prestation qui est déterminante. La situation à prendre en compte est celle existant au moment où le juge du fait statue. Constituent des revenus, outre ceux d'une activité lucrative dépendante, notamment les prestations d'aide sociale. Ce qui est dû en vertu de la loi ou ce dont l'auteur ne jouit pas économiquement doit en être soustrait. Il en va ainsi des impôts courants, des cotisations à l'assurance-maladie et accidents obligatoires, ou encore des frais nécessaires d'acquisition du revenu. D'autres charges financières ne peuvent être prises en compte que dans le cadre de la situation personnelle. En règle générale, les frais de logement ne peuvent pas être déduits. Il n'y a pas lieu non plus à prendre en considération les obligations qui sont la conséquence directe ou indirecte des faits (dommages-intérêts, tort moral, frais judiciaires, etc.). Le principe du revenu net exige que seul le disponible excédant les frais d'acquisition du revenu soit pris en considération, dans les limites de l'abus de droit (ATF 142 IV 315 consid. 5.3 ; 134 IV 60 consid. 6.1 et 6.4). Le juge dispose d'un large pouvoir d'appréciation lui permettant de procéder à une estimation du montant du jour-amende en fonction des informations dont il dispose (arrêt du Tribunal fédéral 6B_133/2018 du 27 juillet 2018 consid. 3.1). 2.4.1. En l'occurrence, les faits ont été commis avant l'entrée en vigueur du nouveau droit. La CPAR considère que le principe de la lex mitior lui impose de statuer selon le droit en vigueur au moment des faits. 2.4.2. La faute de l'appelant est grave puisqu'il a agi au mépris de normes protégeant la sécurité publique. Commises en pleine après-midi et en ville, les multiples infractions sont survenues en présence d'autres usagers de la route, lesquels auraient pu être sérieusement mis en danger. L'appelant ne doit qu'à la chance la survenance de seuls dommages matériels. Sa responsabilité est pleine et entière, à tout le moins l'art. 19 al. 4 CP s'applique, ce qui n'est pas contesté. L'appelant savait pertinemment que fumer du cannabis altérerait sa capacité de conduire. Partant, alors qu'il se trouvait à l'arrêt dans un parking, il n'aurait dû en aucun cas reprendre le volant. Tout au long de son parcours dans Genève, il aurait également pu arrêter son véhicule à de nombreuses occasions. Son mobile relève ainsi de l'égocentrisme. Sa situation personnelle, même empreinte au moment des faits d'une peur panique, n'explique ni n'excuse un tel comportement. L'appelant a reconnu les faits, ne pouvant guère faire autrement, et a exprimé des remords. Il n'a toutefois aucun souvenir du déroulé exact des événements. Même si son naturel est réservé et calme, ce qui est attesté par les EPI, il n'en demeure pas moins que sa collaboration et sa prise de conscience sont sans particularité. L'absence d'antécédents a un effet neutre sur la peine. Certes, les EPI ont certifié que l'appelant avait démontré, durant un stage début 2020, " une bonne maîtrise de la conduite des véhicules de petits gabarits. Sa conduite [était] assurée et prudente ". Si cet aspect est favorable, le fait que l'appelant se soit bien comporté et n'ait pas été à nouveau contrôlé au cours des quatre dernières années correspond à ce que l'on doit pouvoir attendre de tout un chacun. Ce bon comportement est aussi en lien avec la mesure de séquestre à l'encontre de son véhicule personnel et avec les lourds dégâts subis par celui-ci. Une récidive a ainsi indubitablement été rendue plus difficile. Ayant à l'esprit les différents aspects susmentionnés, compte tenu de la gravité de la faute et de la dangerosité du comportement reproché, le type de peine infligé - non contesté - est adéquat et sera ainsi confirmé. Dans cette perspective et en tenant compte du concours d'infractions abstraitement de même gravité pour les infractions à la LCR et à l'art. 144 CP, puisque sanctionnées par la même peine menace, la Cour juge approprié de fixer la peine de base à dix mois de privation de liberté pour la violation grave des règles de la circulation routière. Cette peine doit être augmentée de trois mois (peine hypothétique de cinq mois) en raison de la conduite d'un véhicule automobile dans l'incapacité de conduire pour d'autres raisons que l'alcool et de trois mois (peine hypothétique de quatre mois) en relation avec les dommages à la propriété. En conséquence, une peine privative de liberté de 16 mois paraît conforme au droit. La circonstance atténuante de l'écoulement du temps n'est pas réalisée. La prescription des infractions à la LCR et à l'art. 144 CP est de dix ans, tandis que celle afférente à l'art. 286 CP échoit après sept ans (art. 97 al. 1 let. c et d CP). Aussi, quatre ans après les faits, leurs deux tiers tombent à un peu plus de six ans pour les premières et de six mois pour la seconde. Au regard de la gravité des infractions commises, il n'y a pas lieu de réduire cette proportion. En revanche, une violation du principe de la célérité doit être constatée. L'appelant n'a été renvoyé en jugement qu'aux termes d'environ deux ans et trois mois d'instruction (12 avril 2017 au 26 juillet 2019), sans que cette durée n'apparaisse véritablement proportionnée aux actes d'enquête menés jusqu'alors. En particulier, près de neuf mois se sont écoulés entre la dernière audition devant le MP (9 octobre 2017) et l'avis de prochaine clôture de l'instruction (29 juin 2018). Celui-ci a encore été séparé par treize mois de l'acte d'accusation (26 juillet 2019). Or, l'appelant a encore dû patienter quinze mois pour que son affaire soit jugée par le TP (26 octobre 2020), sans préjudice du fait que celui-ci a tenté une première convocation en mai 2020, laquelle a été mise en échec, notamment, par l'absence du MP. De telles latences pour être jugé apparaissent excessives et constituent un retard injustifié. En définitive, la peine privative de liberté prononcée doit être ramenée à 13 mois. L'appelant doit encore être sanctionné pour empêchement d'accomplir un acte officiel (art. 286 CP). Réprimé uniquement par une peine pécuniaire, aucun concours n'est envisageable. A juste titre, l'appelant n'a pas contesté le nombre de jours-amende. Pour fixer leur quotité, la CPAR relève que l'Hospice général verse à l'appelant un revenu mensuel de CHF 900.- et prend à sa charge les primes d'assurance-maladie, ainsi qu'une partie du loyer. Partant, CHF 20.- par jour-amende sont adéquats. Le sursis complet est acquis à l'appelant (art. 391 al. 2 CPP), tandis que le délai d'épreuve est contesté dans le mémoire d'appel. La question de savoir si le cadre de l'appel est élargi de manière irrecevable en comparaison à la déclaration d'appel peut rester indécise. En effet, les probables projets professionnels de l'appelant dans le domaine de la conduite réclament de maintenir un délai d'épreuve à trois ans pour s'assurer que tout risque de récidive demeure écarté.</w:t>
      </w:r>
    </w:p>
    <w:p>
      <w:r>
        <w:rPr>
          <w:b/>
        </w:rPr>
        <w:t>E. 3</w:t>
      </w:r>
    </w:p>
    <w:p>
      <w:r>
        <w:t>L'appelant, qui succombe pour l'essentiel et l'emporte principalement grâce à un argument non plaidé, à savoir la violation du principe de la célérité, supportera deux tiers des frais de la procédure d'appel, comprenant un émolument de CHF 1'500.- (art. 428 al. 1 CPP et art. 14 let. e du règlement fixant le tarif des frais en matière pénale [RTFMP]), ainsi que de l'émolument complémentaire de première instance. Le solde est laissé à la charge de l'Etat. L'issue de l'appel n'entraîne pas de modification de la répartition des frais de la procédure préliminaire et de première instance, hors deux tiers dudit émolument, puisque le verdict de culpabilité est confirmé et que la quotité de la peine est sans influence à cet égard. Au demeurant, seul le comportement illicite de l'appelant a entraîné l'ouverture de la procédure, y compris en relation avec les faits ayant abouti à un acquittement et à des classements par le TP (art. 426 al. 2 CPP).</w:t>
      </w:r>
    </w:p>
    <w:p>
      <w:r>
        <w:rPr>
          <w:b/>
        </w:rPr>
        <w:t>E. 4</w:t>
      </w:r>
    </w:p>
    <w:p>
      <w:r>
        <w:t>Considéré globalement, l'état de frais produit par M e C______, défenseur d'office de A______, satisfait les exigences légales et jurisprudentielles régissant l'assistance judiciaire gratuite en matière pénale. Sa rémunération sera, partant, arrêtée à CHF 568.65, correspondant à 4h00 d'activité au tarif de CHF 110.-/heure (CHF 440.-), plus la majoration forfaitaire de 20% (CHF 88.-) et l'équivalent de la TVA au taux de 7.7% en CHF 40.65.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