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P/8106/2019 vom 29. April 2021</w:t>
      </w:r>
    </w:p>
    <w:p>
      <w:r>
        <w:t>GE Cour de justice, 2021-04-29, FR</w:t>
      </w:r>
    </w:p>
    <w:p>
      <w:r>
        <w:rPr>
          <w:b/>
        </w:rPr>
        <w:t xml:space="preserve">Quelle: </w:t>
      </w:r>
      <w:r>
        <w:t>https://mcp.opencaselaw.ch/entscheid/ge_gerichte_P_8106_2019</w:t>
      </w:r>
    </w:p>
    <w:p>
      <w:r>
        <w:t>FR: GE_GERICHTE P/8106/2019 du 29 avril 2021</w:t>
      </w:r>
    </w:p>
    <w:p>
      <w:r>
        <w:t>IT: GE_GERICHTE P/8106/2019 del 29 aprile 2021</w:t>
      </w:r>
    </w:p>
    <w:p>
      <w:pPr>
        <w:pStyle w:val="Heading2"/>
      </w:pPr>
      <w:r>
        <w:t>Regeste</w:t>
      </w:r>
    </w:p>
    <w:p>
      <w:r>
        <w:t>DISPOSITIONS PÉNALES DE LA LSTUP;SÉJOUR ILLÉGAL;FIXATION DE LA PEINE;PEINE PRIVATIVE DE LIBERTÉ;CONCOURS D'INFRACTIONS;PRONOSTIC | LStup.19.al1.letc; LEI.115.al1.letB; CP.47; CP.41; CP.49; CP.42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encore lorsque le juge condamne le prévenu au seul motif que sa culpabilité est plus vraisemblable que son innocence (ATF 144 IV 345 consid. 2.2.3.3 ; ATF 127 I 38 consid. 2a p. 40).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consid. 2a p. 41 ; arrêt du Tribunal fédéral 6B_784/2011 du 12 mars 2012 consid. 1.1). 2.1.2. L'art. 115 al. 1 let. b LEI réprime le séjour illégal. Il s'agit d'un délit de durée, un délit continu. L'infraction peut être à nouveau commise si, après avoir été jugé pour de tels faits, le condamné poursuit ou renouvelle son séjour illégal en Suisse. L'infraction est achevée au moment où le séjour prend fin (ATF 135 IV 6 consid. 3.2). La punissabilité du séjour irrégulier selon l'art. 115 al. 1 let b. LEI suppose que l'étranger ne se trouve pas dans l'impossibilité de quitter la Suisse et de rentrer légalement dans son pays d'origine, par exemple en raison d'un refus du pays d'origine d'admettre le retour de leurs ressortissants ou de délivrer des papiers d'identité (ATF 130 II 56 consid. 4.1.3 p. 61 ; arrêt du Tribunal fédéral 6B_372/2016 du 22 mars 2017 consid. 2 et les références). Le Tribunal fédéral a indiqué que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p. 40).</w:t>
      </w:r>
    </w:p>
    <w:p>
      <w:r>
        <w:rPr>
          <w:b/>
        </w:rPr>
        <w:t>E. 2.2</w:t>
      </w:r>
    </w:p>
    <w:p>
      <w:r>
        <w:t>L'appelant fait grief au premier juge d'avoir retenu qu'il s'était rendu coupable de séjour illégal durant la période pénale considérée, aux motifs qu'il n'existerait aucune preuve de sa présence en Suisse avant décembre 2018, étant précisé qu'il avait indiqué alors séjourner à D______, et qu'il avait ensuite pu résider sur le territoire helvétique en raison de la procédure de mariage initiée, lequel a été effectivement célébré le 20 mars 2020. Or, l'appelant ne saurait être suivi en raison de plusieurs éléments. D'une part, il a lui-même déclaré, au début de la procédure, qu'il avait régulièrement séjourné à Genève entre mars 2017 et avril 2019, en dormant chez des amis ou chez sa compagne, avec laquelle il a d'ailleurs précisé être en couple depuis 2017. Devant le MP, il a relevé ne pouvoir contester l'infraction mais être en mesure d'expliquer pour quelles raisons il se trouvait à Genève, admettant y avoir régulièrement dormi. D'autre part, l'appelant ayant indiqué qu'il ignorait alors ne pas avoir le droit de se trouver sur le territoire helvétique, il y a tout lieu d'en inférer qu'il y est durablement resté, ce d'autant qu'il paraît y avoir formé davantage d'attaches qu'en France. L'appelant n'a d'ailleurs jamais donné aucune indication précise sur le lieu où il aurait séjourné à D______ ni où il y aurait travaillé. Aussi, rien ne permet de croire que l'appelant a définitivement quitté la Suisse après sa libération de prison en mars 2017, tandis que les éléments précités permettent de retenir, au-delà de tout doute raisonnable, qu'il y a durablement séjourné durant la période pénale sans les autorisations nécessaires jusqu'à son arrestation en avril 2019, intervenue au demeurant à Genève, cela même s'il a pu lui arriver occasionnellement de dormir en France voisine. Contrairement à ce que soutient l'appelant, le dépôt de sa demande en mariage en décembre 2018 ne l'autorisait pas, de facto , à demeurer en Suisse. Du reste, elle a, dans un premier temps, fait l'objet d'une décision de non entrée en matière rendue le 8 avril 2019, en raison du fait qu'il n'avait précisément pas pu fournir d'autorisation de séjour à l'état civil. La jurisprudence dont se prévaut l'appelant ne confère pas au fiancé étranger un droit de séjourner en Suisse en vue de mariage dans tous les cas, un tel droit étant subordonné à l'appréciation de sa situation personnelle par l'autorité compétente. Aussi, le fait que celle-ci ait, dans un premier temps, jugé que l'appelant ne remplissait pas les conditions nécessaires pour poursuivre sa procédure de mariage depuis la Suisse, puis lui a, notamment après sa reconnaissance en paternité en septembre 2019, accordé une autorisation de séjour de six mois pour se marier dès décembre 2019, est sans incidence. Au contraire, cela confirme que l'appelant n'était, auparavant, pas autorisé à rester en Suisse, le délai de six mois accordé étant intervenu après la période pénale considérée. Pour le surplus, aucun élément n'indique que l'appelant n'était pas en mesure de retourner en Gambie durant la période litigieuse, ce qui lui aurait permis de revenir en Suisse au bénéfice des autorisations nécessaires et d'éviter de prolonger sa situation irrégulière dans le pays. Partant, c'est à juste titre que le premier juge a retenu que l'appelant s'était fautivement rendu coupable de séjour illégal, au sens de l'art. 115 al. 1 let. b LEI, entre les 21 mars 2017 et 12 avril 2019.</w:t>
      </w:r>
    </w:p>
    <w:p>
      <w:r>
        <w:rPr>
          <w:b/>
        </w:rPr>
        <w:t>E. 3</w:t>
      </w:r>
    </w:p>
    <w:p>
      <w:r>
        <w:t>3.1.1. L'infraction à l'art. 19 al. 1 let. c LStup est passible d'une peine privative de liberté de trois ans au plus ou d'une peine pécuniaire. Le séjour illégal, au sens de l'art. 115 al. 1 let. b LEI, est réprimé d'une peine privative de liberté d'un an au plus ou d'une peine pécuniaire. Les peines prononcées dans plusieurs procédures pénales en raison de l'effet de césure ne peuvent dépasser la peine maximale prévue par la loi pour l'infraction en question (ATF 135 IV 6 consid. 4.2 p. 11).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144 IV 313 consid. 1.2).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 3.1.3.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3.1.4. D'après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3.1.5.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3.1.6. En vertu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Le sursis est la règle dont le juge ne peut s'écarter qu'en présence d'un pronostic défavorable ou hautement incertain (ATF 135 IV 180 consid. 2.1 p. 185 s. ; ATF 134 IV 1 consid. 4.2.2 p. 5).</w:t>
      </w:r>
    </w:p>
    <w:p>
      <w:r>
        <w:rPr>
          <w:b/>
        </w:rPr>
        <w:t>E. 3.2</w:t>
      </w:r>
    </w:p>
    <w:p>
      <w:r>
        <w:t>La faute de l'appelant ne saurait être minimisée. Après une condamnation pour séjour illégal en mars 2017, et trois autres condamnations antérieures pour infraction à la loi sur les étrangers, il n'a pas hésité à demeurer durablement en Suisse sans être au bénéfice des autorisations nécessaires jusqu'en avril 2019, soit durant un peu plus de deux ans, même s'il a pu parfois interrompre ce séjour pour de brèves périodes, en faisant prévaloir ses intérêts personnels sur le respect de la loi. En dépit de ses dénégations, l'appelant ne pouvait ignorer le caractère illicite de sa situation administrative, au vu de ses condamnations en la matière, de l'interdiction d'entrée en Suisse signifiée et des courriers reçus tant de l'état civil que de l'OCPM jusqu'en juillet 2019. A cet égard, tel que relevé précédemment, peu importe qu'à la suite notamment de sa reconnaissance en paternité en septembre 2019, il a finalement bénéficié d'une autorisation de séjour de six mois dès décembre 2019 pour se marier, une telle autorisation ne lui ayant pas été donnée durant la période pénale considérée. Durant son séjour illégal sur le territoire helvétique, l'appelant s'est, en outre, adonné à un trafic de stupéfiants au détriment de la santé d'autrui, étant relevé qu'il n'est lui-même pas consommateur de cocaïne. L'appelant a agi pour des motifs égoïstes, par pure convenance personnelle et par appât du gain facile. Il a fait totalement fi des règles en vigueur en Suisse et des décisions précédemment rendues à son encontre. Sa responsabilité est pleine et entière. Il y a concours d'infractions, ce qui constitue un facteur aggravant. La collaboration de l'appelant à la procédure ne peut être considérée comme bonne. Il a cherché à minimiser son implication dans le trafic de stupéfiants reproché, sans préjudice de ce qu'il mit en danger la santé de personnes. Il n'assume toujours aucune responsabilité en rapport au séjour illégal établi, arguant d'un retard de l'autorité compétente. Sa prise de conscience apparaît, dans ces conditions, si ce n'est nulle, voire peu avancée. La situation personnelle de l'appelant ne justifie en rien ses agissements. Au contraire, il était en mesure d'obtenir l'aide de sa compagne, ou de rechercher celle des autorités compétentes, pour régulariser sa situation dès sa sortie de prison au printemps 2017 et construire une situation stable, ce d'autant s'il avait le projet de créer une famille. L'appelant a plusieurs antécédents spécifiques. Les peines pécuniaires prononcées en dernier lieu sont manifestement restées sans effet sur lui. Compte tenu de ce qui précède, le prononcé d'une peine privative de liberté s'impose, ce que l'appelant ne conteste pas en soi. La quotité arrêtée à 90 jours pour sanctionner l'infraction commise à la LStup, soit la plus grave, est juste et adéquate, ce que l'appelant reconnaît du reste. Il apparaitrait justifié d'aggraver une telle peine à tout le moins à 150 jours pour tenir compte du séjour illégal de longue durée (peine privative de liberté hypothétique de 90 jours réduite à 60 jours en application du principe de l'aggravation). C'est donc une peine supérieure à celle prononcée par le premier juge qui aurait dû être prononcée. Cela étant, en l'absence d'appel du MP et en application du principe d'interdiction de la reformatio in pejus , la peine privative de liberté de 120 jours prononcée par le premier juge sera confirmée. Au surplus, le pronostic est en l'état défavorable. La situation en couple de l'appelant ne l'a manifestement pas dissuadé de récidiver en matière d'infractions à la LStup et rien ne démontre, pour l'heure, qu'il est parvenu à construire une situation stable permettant de le détourner de la récidive. Aussi, l'appel interjeté doit être rejeté.</w:t>
      </w:r>
    </w:p>
    <w:p>
      <w:r>
        <w:rPr>
          <w:b/>
        </w:rPr>
        <w:t>E. 4</w:t>
      </w:r>
    </w:p>
    <w:p>
      <w:r>
        <w:t>L'appelant, qui succombe, supportera les frais de la procédure envers l'Etat, comprenant un émolument de CHF 1'200.- (art. 428 CPP et art. 14 al. 1 let. e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