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P/8092/2019 vom 25. August 2021</w:t>
      </w:r>
    </w:p>
    <w:p>
      <w:r>
        <w:t>GE Cour de justice, 2021-08-25, FR</w:t>
      </w:r>
    </w:p>
    <w:p>
      <w:r>
        <w:rPr>
          <w:b/>
        </w:rPr>
        <w:t xml:space="preserve">Quelle: </w:t>
      </w:r>
      <w:r>
        <w:t>https://mcp.opencaselaw.ch/entscheid/ge_gerichte_P_8092_2019</w:t>
      </w:r>
    </w:p>
    <w:p>
      <w:r>
        <w:t>FR: GE_GERICHTE P/8092/2019 du 25 août 2021</w:t>
      </w:r>
    </w:p>
    <w:p>
      <w:r>
        <w:t>IT: GE_GERICHTE P/8092/2019 del 25 agosto 2021</w:t>
      </w:r>
    </w:p>
    <w:p>
      <w:pPr>
        <w:pStyle w:val="Heading2"/>
      </w:pPr>
      <w:r>
        <w:t>Regeste</w:t>
      </w:r>
    </w:p>
    <w:p>
      <w:r>
        <w:t>DÉCISION D'IRRECEVABILITÉ | CPP.399.al1; CPP.82.al1</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dispositif écrit du jugement (art. 398, 399 al. 1 et 384 let. a CPP).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1.1.2. Une annonce d'appel au sens de l'art. 399 al. 1 CPP constitue une déclaration unilatérale de volonté par laquelle une partie communique sa volonté de former appel. L'annonce n'a pas à être motivée. Elle doit cependant être suffisamment claire quant à la volonté de former appel (arrêts du Tribunal fédéral 6B_1147/2017 du 9 février 2018 consid. 5.4 et 6B_170/2012 du 7 mai 2012 consid. 1.4). 1.1.3. L'art. 82 al. 2 CPP distingue clairement la demande de motivation de l'annonce d'appel (cf. al. 2 let. a et b). La doctrine et la jurisprudence excluent qu'une demande de motivation puisse valoir annonce d'appel (arrêt précité consid. 1.4.2 ; cf. DONATSCH / LIEBER / SUMMERS / WOHLERS, Kommentar zur schweizerischen Strafprozessordnung , 3 ème éd., Zurich 2020, n. 4 ad art. 399).</w:t>
      </w:r>
    </w:p>
    <w:p>
      <w:r>
        <w:rPr>
          <w:b/>
        </w:rPr>
        <w:t>E. 1.2</w:t>
      </w:r>
    </w:p>
    <w:p>
      <w:r>
        <w:t>La faute du mandataire peut être imputée à la partie s'il ne s'agit pas d'un cas de défense obligatoire de nature à causer un préjudice irréparable au prévenu (Y. JEANNERET / A. KUHN / C. PERRIER DEPEURSINGE [éds], Commentaire romand : Code de procédure pénale suisse,</w:t>
      </w:r>
    </w:p>
    <w:p>
      <w:r>
        <w:rPr>
          <w:b/>
        </w:rPr>
        <w:t>E. 1.3</w:t>
      </w:r>
    </w:p>
    <w:p>
      <w:r>
        <w:t>En l'espèce, s'il est vrai que l'appelant a manifesté auprès de son avocat, le jour-même de la notification du dispositif, son souhait de faire appel de la décision querellée, il reste que son conseil n'a sollicité du Tribunal pénal que la motivation du jugement, à défaut de toute autre communication dans le délai légal. Or une telle demande ne saurait valablement constituer une annonce d'appel au sens de l'art. 399 al. 1 CP, dans la mesure où la volonté de faire appel n'y est pas clairement exprimée, ni même reconnaissable. Elle ne saurait se déduire non plus du seul fait que l'appelant avait entièrement succombé en première instance. Il n'est en effet pas exclu qu'une partie qui a été reconnue coupable n'ait pas l'intention de porter la cause devant une autorité supérieure mais souhaite néanmoins connaître les motifs de la décision. C'est du reste la raison d'être de l'art. 82 al. 2 let. b CPP. Certes, la motivation entraîne la perception d'un émolument complémentaire, mais la renonciation à annoncer appel permet de limiter les coûts, en évitant les frais de deuxième instance mis à la charge de l'appelant en cas de retrait de l'appel ou de non dépôt d'une déclaration d'où, aussi, l'intérêt de la faculté octroyée par l'art. 82 al. 2 let. b CPP. L'absence d'annonce d'appel relève peut-être d'une erreur de l'avocat, mais elle est imputable à l'appelant, dès lors qu'il ne s'agit pas d'un cas de défense obligatoire. Au vu de ce qui précède, l'appel sera déclaré irrecevable.</w:t>
      </w:r>
    </w:p>
    <w:p>
      <w:r>
        <w:rPr>
          <w:b/>
        </w:rPr>
        <w:t>E. 2</w:t>
      </w:r>
    </w:p>
    <w:p>
      <w:r>
        <w:t>La partie dont l'appel est irrecevable est considérée comme ayant succombé ; elle supporte les frais de la procédure envers l'Etat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