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P/8079/2016 vom 5. Oktober 2018</w:t>
      </w:r>
    </w:p>
    <w:p>
      <w:r>
        <w:t>GE Cour de justice, 2018-10-05, FR</w:t>
      </w:r>
    </w:p>
    <w:p>
      <w:r>
        <w:rPr>
          <w:b/>
        </w:rPr>
        <w:t xml:space="preserve">Quelle: </w:t>
      </w:r>
      <w:r>
        <w:t>https://mcp.opencaselaw.ch/entscheid/ge_gerichte_P_8079_2016</w:t>
      </w:r>
    </w:p>
    <w:p>
      <w:r>
        <w:t>FR: GE_GERICHTE P/8079/2016 du 5 octobre 2018</w:t>
      </w:r>
    </w:p>
    <w:p>
      <w:r>
        <w:t>IT: GE_GERICHTE P/8079/2016 del 5 ottobre 2018</w:t>
      </w:r>
    </w:p>
    <w:p>
      <w:pPr>
        <w:pStyle w:val="Heading2"/>
      </w:pPr>
      <w:r>
        <w:t>Regeste</w:t>
      </w:r>
    </w:p>
    <w:p>
      <w:r>
        <w:t>RAISON DE COMMERCE ; EXPLOITANT ; CONCURRENCE DÉLOYALE ; INDEMNITÉ(EN GÉNÉRAL) | LCD.4a.al1.leta; LCD.23.al1; LCD.2; CP.2; RTFMP.14.al1.lete; CPP.429.al1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prétentions civiles ou certaines d'entre elles (let. d) ; les frais et les indemnités (let. f). La Chambre limite son examen aux violations décrites dans l'acte d'appel (art. 404 al. 1 CPP), sauf en cas de décisions illégales ou inéquitables (art. 404 al. 2 CPP).</w:t>
      </w:r>
    </w:p>
    <w:p>
      <w:r>
        <w:rPr>
          <w:b/>
        </w:rPr>
        <w:t>E. 2</w:t>
      </w:r>
    </w:p>
    <w:p>
      <w:r>
        <w:t>3.1. À teneur de l'art. 4a al. 1 let. a LCD, agit de façon déloyale celui qui aura offert, promis ou octroyé un avantage indu à un employé, un associé, un mandataire ou un autre auxiliaire d'un tiers du secteur privé, en faveur de cette personne ou en faveur d'un tiers, pour l'exécution ou l'omission d'un acte en relation avec son activité professionnelle ou commerciale et qui soit contraire à ses devoirs ou dépende de son pouvoir d'appréciation. Selon l'art. 23 al. 1 aLCD, quiconque, intentionnellement, se rend coupable de concurrence déloyale au sens de l'art. 4 a notamment est, sur plainte, puni d'une peine privative de liberté de trois ans au plus ou d'une peine pécuniaire. 2.3.2. L'infraction de corruption privée n'exige pas stricto sensu la présence d'un rapport de concurrence au sens de l'art. 2 LCD. La corruption privée doit toutefois influer sur les rapports entre concurrents ou entre fournisseurs et clients (art. 2 LCD). En d'autres termes, les actes en cause doivent avoir une incidence sur la concurrence économique. Le corrupteur doit donc nécessairement avoir une activité économique sur le marché et intervenir de manière déloyale dans le libre jeu de ce dernier. Il n'est toutefois pas nécessaire que l'auteur (soit en l'espèce le corrupteur) soit lui-même un concurrent (V. MARTENET / P. PICHONNAZ [éds], op. cit, n. 21 ad art 4a et les références citées). L'acte de corruption doit être de nature à fausser le fonctionnement du marché et à influencer de manière inadmissible la concurrence. Il doit être objectivement propre à avantager ou désavantager une entreprise dans sa lutte pour acquérir de la clientèle, ou à accroître ou diminuer ses parts de marché. Il ne peut y avoir de responsabilité pénale sans un rapport de concurrence faussé. Celui-ci peut exister soit avec le tiers dont l'employé, l'associé, le mandataire ou l'auxiliaire est corrompu, soit avec une autre personne (V. MARTENET / P. PICHONNAZ [éds], op. cit. , n. 22 ad art 4a et les références citées). 2.3.3. Un lien de causalité doit exister entre l'avantage indu et l'acte contraire aux devoirs. L'avantage indu et l'acte exécuté ou omis doivent s'inscrire dans un rapport d'équivalence, étant précisé que le second peut se produire aussi bien avant qu'après l'offre, la promesse ou la sollicitation du premier ( Id. , n. 42 ad art 4a et les références citées). Ce qui est exigé, c'est qu'il y ait une technique de corruption dans le cadre d'un rapport d'échange au sens d'un " do ut des ". Il doit donc exister une relation de prestation à contre-prestation. Les actes du corrompu doivent être déterminables de manière générique et effectués dans le cadre de l'activité professionnelle ou commerciale du corrompu. Une preuve concrète de l'accord illicite n'est pas exigée. Il faut toutefois qu'une relation d'adéquation entre l'acte contraire au devoir et l'avantage soit déterminable. Le juge doit disposer de suffisamment d'éléments de preuve pour se convaincre que le corrompu était censé violer ses devoirs ou exercer son pouvoir d'appréciation ( Id. , n. 43 ad art 4a et les références citées). 2.3.4. L'auteur doit agir intentionnellement (art. 23 al. 1 LCD), c'est-à-dire avec conscience et volonté (art. 12 al. 2 CP). L'intention doit porter sur tous les éléments constitutifs de l'infraction, y compris sur le rapport d'équivalence et le caractère indu de l'avantage. Le dol éventuel suffit ( Id. , n. 44 ad art 4a et les références citées).</w:t>
      </w:r>
    </w:p>
    <w:p>
      <w:r>
        <w:rPr>
          <w:b/>
        </w:rPr>
        <w:t>E. 2.5</w:t>
      </w:r>
    </w:p>
    <w:p>
      <w:r>
        <w:t>En ce qui concerne l'établissement des faits, il est vrai que les dires de l'intimé sont peu crédibles. Sa version ne coïncide pas avec celle de la titulaire de la patente sur les circonstances de leur rencontre, le 29 janvier 2016 ou sur le mode de calcul de la somme de CHF 2'000.-. L'appelante souligne à bon escient qu'on ne voit pas comment le prévenu a pu penser qu'il était débiteur du salaire de l'employée de son partenaire contractuel et il est effectivement troublant que la veille du retrait de la patente par E______, l'intimé ait déjà évoqué une possible perte de ce certificat par ledit partenaire, dont il ne se cachait pas vouloir se débarrasser. La chronologie, soit le déplacement de E______ au PCTN pour retirer la patente en présence de l'intimé, suivi, le même jour, de la remise de CHF 2'000.- en espèces donne un appui sérieux à la thèse de l'accusation. Sur la base de ces éléments, il doit à tout le moins être retenu que l'intimé était disposé à faire ce qui était en son pouvoir afin que l'appelante perde le bénéfice de la patente de E______. Pour autant, il est vrai que, vu les difficultés rencontrées par la détentrice de la patente en seulement un mois et demi de travail, à savoir le retard dans le versement de son précédent salaire, les amendes reçues à son domicile pour le compte de l'établissement, les inconvénients liés aux clés qu'elle ne possédait pas, le tout sur fond de tensions grandissantes entre son employeur et l'intimé et la menace de la fin du bail, il est plausible que E______ avait de son côté perdu confiance en son employeur et, soucieuse de ne pas mettre en péril son certificat de café-restaurateur, a décidé de se retirer d'une situation qui était devenue, selon ses propres dires, ingérable. Dans cette version, qui est celle de l'intéressée, la disponibilité de C______ à lui payer la somme de CHF 2'000.- a pu représenter pour elle une perspective bienvenue sans être le moteur de sa décision. Ainsi, à l'instar du premier juge, la CPAR considère qu'il n'est pas établi au-delà de tout doute raisonnable que l'intimé a joué un rôle causal dans la décision de E______ de mettre fin à sa collaboration avec l'appelante, étant rappelé que vu son engagement récent elle était encore en période d'essai, et de lui retirer en prolongement le bénéfice de sa patente.</w:t>
      </w:r>
    </w:p>
    <w:p>
      <w:r>
        <w:rPr>
          <w:b/>
        </w:rPr>
        <w:t>E. 2.6</w:t>
      </w:r>
    </w:p>
    <w:p>
      <w:r>
        <w:t>Par surabondance, quand bien même serait-il avéré que l'intimé a convaincu E______ de retirer sa patente moyennant le versement de CHF 2'000.-, un autre élément constitutif au moins de l'infraction de l'art. 4a cum 23 aLCD ferait défaut : l'acte reproché n'était en l'occurrence pas de nature à fausser le fonctionnement du marché et à influencer de manière inadmissible la concurrence dans la mesure où le bail de l'établissement était résilié pour le 31 janvier 2016, en raison non seulement des retards dans le paiement du loyer mais aussi en raison du refus de la régie H______ d'accepter la gérance de l'appelante, ce qui est attesté par les éléments du dossier. L'exploitation du café-restaurant par l'appelante était ainsi, en tout état, vouée à l'échec. Sans préjudice de ce qu'il est douteux que le retrait, certes précipité, de la patente par E______ fût contraire à ses devoirs dans le contexte sus-décrit, étant observé que l'appelante ne semble pas avoir émis de prétentions à son encore.</w:t>
      </w:r>
    </w:p>
    <w:p>
      <w:r>
        <w:rPr>
          <w:b/>
        </w:rPr>
        <w:t>E. 2.7</w:t>
      </w:r>
    </w:p>
    <w:p>
      <w:r>
        <w:t>Dans ces circonstances, l'appel doit être rejeté dans la mesure où il tend à la condamnation de l'intimé du chef de concurrence déloyale. 3. Il doit l'être également en ce qui concerne le grief de contrainte, que le MP a renoncé à poursuivre dès le début de l'instruction préliminaire, celle-ci n'ayant jamais porté sur ce point. En effet, l'ordonnance pénale valant acte d'accusation ne fait aucune mention des faits dénoncés à ce titre par l'appelante, alors que le juge du fond est lié par l'état de fait décrit dans l'acte d'accusation, ne pouvant retenir dans son jugement des faits ou des circonstances complémentaires, que s'ils sont secondaires et n'ont aucune influence sur l'appréciation juridique (art. 9 et 325 CPP ; arrêts du Tribunal fédéral 6B_1023/2017 du 25 avril 2018 consid. 1.1 ; 6B_947/2015 du 29 juin 2017 consid. 7.1 et les références). Il aurait ainsi appartenu à l'appelante, si elle s'y estimait fondée, de recourir contre la non-entrée en matière implicite.</w:t>
      </w:r>
    </w:p>
    <w:p>
      <w:r>
        <w:rPr>
          <w:b/>
        </w:rPr>
        <w:t>E. 4</w:t>
      </w:r>
    </w:p>
    <w:p>
      <w:r>
        <w:t>L'appelante, qui succombe, supportera les frais de la procédure d'appel, qui comprennent un émolument de CHF 1'500.- (art. 14 al. 1 let. e du Règlement fixant le tarif des frais en matière pénale [RTFMP - E 4 10.03] et 428 al. 1 CPP).</w:t>
      </w:r>
    </w:p>
    <w:p>
      <w:r>
        <w:rPr>
          <w:b/>
        </w:rPr>
        <w:t>E. 5</w:t>
      </w:r>
    </w:p>
    <w:p>
      <w:r>
        <w:t>5.1.1. L'acquittement prononcé en première instance étant confirmé, le droit à une indemnisation en application de l'art. 429 al. 1 CPP est ouvert à l'intimé. Cette indemnisation est en principe due par l'Etat, en vertu de sa responsabilité causale dans la conduite des procédures pénales (ATF 142 IV 237 consid. 1.3.1 p. 239). Toutefois, lorsque l'appel a été formé par la seule partie plaignante,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 confirmé par l'ATF 141 IV 476 consid.1.1 p.478 ss). 5.1.2. Les honoraires d'avocat se calculent selon le tarif local, à condition qu'ils restent proportionnés (N. SCHMID, Schweizerische Strafprozessordnung : Praxiskommentar , Zurich 2009, n. 7 ad art. 429).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 Bâle 2011, n. 19 ad art. 429). La Cour de justice retient un taux horaire de CHF 350.- pour les collaborateurs ( AARP/65/2017 du 23 février 2017 ; AARP/125/2012 du 30 avril 2012) et de CHF 150.- pour les avocats stagiaires ( ACPR/89/2017 du 23 février 2017 ; AARP/65/2017 du 23 février 2017 ; ACPR/178/2015 du 23 mars 2015 ; AARP/125/2012 du 30 avril 2012 ; ACPR/187/2017 du 22 mars 2017 consid 3.2).</w:t>
      </w:r>
    </w:p>
    <w:p>
      <w:r>
        <w:rPr>
          <w:b/>
        </w:rPr>
        <w:t>E. 5.2</w:t>
      </w:r>
    </w:p>
    <w:p>
      <w:r>
        <w:t>Compte tenu de la complexité relative de l'affaire, tant en fait qu'en droit à ce stade de la procédure, l'activité déployée par le collaborateur en appel, consistant à la préparation de l'audience à laquelle il n'a pas participé, est excessive et sera limitée à une heure. Par ailleurs le tarif horaire du stagiaire doit être ramené à CHF 150.-, mais son activité portée à une heure et demie (plutôt qu'une heure), vu la durée réelle des débats, soit CHF 225.-. La pratique consistant à facturer un forfait de 20% pour les activités diverses est empruntée à l'assistance judiciaire et doit partant être considérée comme conciliant équitablement des principes d'économie et le droit à une rémunération suffisante des diligences de l'avocat. L'appelante sera dès lors condamnée à payer à l'intimé un montant de CHF 743.10 en couverture des dépenses nécessaires de ce dernier durant la procédure d'appel (forfait de 20%, soit CHF 115.-, et TVA au taux de 7.7%, soit CHF 53.10, compris).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