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P/7994/2018 vom 16. Juni 2022</w:t>
      </w:r>
    </w:p>
    <w:p>
      <w:r>
        <w:t>GE Cour de justice, 2022-06-16, FR</w:t>
      </w:r>
    </w:p>
    <w:p>
      <w:r>
        <w:rPr>
          <w:b/>
        </w:rPr>
        <w:t xml:space="preserve">Quelle: </w:t>
      </w:r>
      <w:r>
        <w:t>https://mcp.opencaselaw.ch/entscheid/ge_gerichte_P_7994_2018</w:t>
      </w:r>
    </w:p>
    <w:p>
      <w:r>
        <w:t>FR: GE_GERICHTE P/7994/2018 du 16 juin 2022</w:t>
      </w:r>
    </w:p>
    <w:p>
      <w:r>
        <w:t>IT: GE_GERICHTE P/7994/2018 del 16 giugno 2022</w:t>
      </w:r>
    </w:p>
    <w:p>
      <w:pPr>
        <w:pStyle w:val="Heading2"/>
      </w:pPr>
      <w:r>
        <w:t>Regeste</w:t>
      </w:r>
    </w:p>
    <w:p>
      <w:r>
        <w:t>LÉSION CORPORELLE SIMPLE;VOIES DE FAIT;INJURE;ENLÈVEMENT(INFRACTION);LÉGITIME DÉFENSE;EXCÈS;ÉTAT DE NÉCESSITÉ | CP.123; CP.126; CP.109; CP.177.al1; CP.183.ch1; CP.15; CP.16; CP.17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2.1.2. Les voies de fait, réprimées par l'art. 126 CP, se définissent comme des atteintes physiques qui excèdent ce qui est socialement toléré et qui ne causent ni lésions corporelles, ni dommage à la santé (ATF 119 IV 25 consid. 2a p. 26 ; ATF 117 IV 14 consid. 2a p. 15 ss). 2.1.3. La distinction entre lésions corporelles et voies de fait peut s'avérer délicate. Une éraflure au nez avec contusion a été considérée comme une voie de fait ; de même, une meurtrissure au bras et une douleur à la mâchoire sans contusion (ATF 134 IV 189 consid. 1.3 p. 191 ; ATF 119 IV 25 consid. 2a p. 26).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ou encore la projection d'objets durs d'un certain poids (ATF 117 IV 14 consid. 2a/cc p. 17 ; arrêts du Tribunal fédéral 6B_163/2008 du 15 avril 2008 consid. 2). En revanche, des tuméfactions et rougeurs dans la région du sourcil et de l'oreille d'une grosseur d'environ 2 x 5 cm,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2.1.4.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2.1.5. Le fait de tirer les cheveux d'une personne est qualifié de voies de fait ( AARP/133/2019 du 15 avril 2019 consid. 2.6). 2.1.6. Récemment, le Tribunal fédéral a confirmé que quelques rougeurs au niveau du cuir chevelu, des ecchymoses au cou et aux bras ainsi que des dermabrasions au cou et au bras relevaient a priori de simples voies de fait. En l'occurrence, la lésée avait été saisie au cou durant quelques secondes, sans avoir été empêchée de respirer et avait pu se dégager d'elle-même. Elle avait également été saisie au bras mais n'avait ressenti qu'une brève douleur, également compatible avec une simple voie de fait (arrêt du Tribunal fédéral 1B_259/2021 du 19 août 2021 consid. 2.2). 2.1.7. Conformément à l'art. 109 CP, l'action pénale et la peine se prescrivent par trois ans pour les contraventions. 2.2.1. 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2.2.2. Sont considérées comme des injures formelles les termes : " fils de pute " (arrêt du Tribunal fédéral 6B_763/2014 du 6 janvier 2015 ; AARP/60/2018 du 6 février 2018 consid. 4.2), " salope " ou " connard " ( AARP/79/2017 du 8 mars 2017 consid. 2.3). 2.2.3. L'art. 177 al. 2 CP permet au juge d'exempter le délinquant de toute peine si l'injurié a directement provoqué l'injure par une conduite répréhensible. Il s'agit d'une faculté, non d'une obligation (ATF 109 IV 39 consid. 4b in fine ). Le juge peut aussi se limiter à atténuer la peine. Il dispose à cet égard d'un large pouvoir d'appréciation (arrêt du Tribunal fédéral 6B_640/2008 du 12 février 2009 consid. 2.1). Cette faculté n'est donnée que si l'injure a consisté en une réaction immédiate à un comportement répréhensible de l'injurié, lequel peut consister en une provocation ou en tout autre comportement blâmable. La notion d'immédiateté doit être comprise comme une notion temporelle, en ce sens que l'auteur doit avoir agi sous le coup de l'émotion provoquée par la conduite répréhensible de l'injurié, sans avoir eu le temps de réfléchir (ATF 117 IV 270 consid. 2c ; 83 IV 151 ). 2.2.4. Si l'injurié a riposté immédiatement par une injure ou par des voies de fait, le juge pourra exempter de toute peine les deux délinquants ou l'un d'eux (art. 177 al. 3 CP).</w:t>
      </w:r>
    </w:p>
    <w:p>
      <w:r>
        <w:rPr>
          <w:b/>
        </w:rPr>
        <w:t>E. 2.3</w:t>
      </w:r>
    </w:p>
    <w:p>
      <w:r>
        <w:t>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sans droit la personne au lieu où elle se trouve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L'infraction est intentionnelle, le dol éventuel étant suffisant (M. DUPUIS / L. MOREILLON / C. PIGUET / S. BERGER / M. MAZOU / V. RODIGARI, Code Pénal, Petit commentaire , 2e éd., Bâle 2017, n. 36 ad art. 183 et les références citées).</w:t>
      </w:r>
    </w:p>
    <w:p>
      <w:r>
        <w:rPr>
          <w:b/>
        </w:rPr>
        <w:t>E. 2.4</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102 IV 65 consid. 2a p. 68 ;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107 IV 12 consid. 3 p. 15 ; 102 IV 65 consid. 2a p. 68 ; arrêts du Tribunal fédéral 6B_130/2017 du 27 février 2018 consid. 3.1 et les références = SJ 2018 I 385 ; 6B_6/2017 du 28 février 2018 consid. 4.1).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En revanche, si la personne attaquée a répondu par une contre-attaque – en principe légitime en vertu de l'art. 15 CP – mais que cette dernière est excessive, l'auteur peut à nouveau se prévaloir de légitime défense contre la légitime défense dans la mesure où celle-ci est excessive et donc illégitime (M. KILLIAS et al. , Précis de droit pénal général , 3 ème éd., Lausanne/Neuchâtel/Zurich 2016, n. 716, p. 117).</w:t>
      </w:r>
    </w:p>
    <w:p>
      <w:r>
        <w:rPr>
          <w:b/>
        </w:rPr>
        <w:t>E. 2.5</w:t>
      </w:r>
    </w:p>
    <w:p>
      <w:r>
        <w:t>Aux termes de l'art. 16 CP, si l'auteur, en repoussant une attaque, a excédé les limites de la légitime défense au sens de l'art. 15, le juge atténue la peine. (al. 1). Si cet excès provient d'un état excusable d'excitation ou de saisissement causé par l'attaque, l'auteur n'agit pas de manière coupable (al. 2).</w:t>
      </w:r>
    </w:p>
    <w:p>
      <w:r>
        <w:rPr>
          <w:b/>
        </w:rPr>
        <w:t>E. 2.6</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soit lorsque le péril se concrétise à brève échéance, à savoir à tout le moins dans les heures suivant l'acte punissable commis par l'auteur (ATF 147 IV 297 consid. 2.3 ; 129 IV 6 consid. 3.2 p. 14 ; 122 IV 1 consid. 3a p. 5). L'impossibilité que le danger puisse être détourné autrement implique une subsidiarité absolue (ATF 147 IV 297 consid. 2.1). Ainsi, celui qui est en mesure de s'adresser aux autorités pour parer au danger ne saurait se prévaloir de l'état de nécessité (ATF 125 IV 49 consid. 2c p. 55 s. ; arrêt du Tribunal fédéral 6B_622/2008 du 13 janvier 2009 consid. 3.1). En d'autres termes, l'acte incriminé doit correspondre à un moyen nécessaire et proportionné, à même d'atteindre le but visé, et peser manifestement moins lourd que les intérêts que l'auteur cherche à sauvegarder (ATF 129 IV 6 consid. 3.3 p. 15 et les arrêts cités). Le contexte</w:t>
      </w:r>
    </w:p>
    <w:p>
      <w:r>
        <w:rPr>
          <w:b/>
        </w:rPr>
        <w:t>E. 2.6.1</w:t>
      </w:r>
    </w:p>
    <w:p>
      <w:r>
        <w:t>À titre préliminaire, il sied de relever que les faits se sont produits dans un contexte particulièrement conflictuel et confusionnel entre les parties, celles-ci ayant entretenu une relation extraconjugale ayant pris fin peu de temps auparavant. Le fait que les parties divergent aussi bien sur la date que sur les causes de leur séparation est révélateur de l'existence de tensions entre elles. L'on notera à cet égard que les premières explications données par l'intimée tendant au fait qu'elle aurait unilatéralement décidé de quitter l'appelant six mois auparavant, au motif que ce dernier l'aurait menacée de tout révéler à sa belle-famille si elle le quittait, n'emportent pas conviction. En effet, un tel comportement de la part de l'appelant s'avérerait fort peu judicieux dans la mesure où son épouse n'était à l'époque pas au courant de l'existence de cette relation, ainsi que cela ressort du dossier et, en particulier, de son témoignage lors de l'audience d'appel. Il ne peut être fait abstraction non plus du fait que l'intimée a indiqué savoir que l'épouse de l'appelant était enceinte, information qui paraît propre à engendrer une rupture ou, à tout le moins, à générer une forte animosité envers son ex-amant. De la crédibilité des parties</w:t>
      </w:r>
    </w:p>
    <w:p>
      <w:r>
        <w:rPr>
          <w:b/>
        </w:rPr>
        <w:t>E. 2.6.2</w:t>
      </w:r>
    </w:p>
    <w:p>
      <w:r>
        <w:t>Bien que les déclarations des parties divergent sur de nombreux points, la Cour relève que les protagonistes ont livré des récits détaillés et n'ont que peu varié dans leurs déclarations. L'on notera également que l'un comme l'autre n'ont pas hésité à s'auto-incriminer, l'appelant, en admettant avoir insulté et saisi l'intimée par les cheveux, et cette dernière, en reconnaissant avoir mordu et insulté à son tour son ex-amant. Au vu de ce qui précède, les parties sont globalement crédibles, de sorte qu'il n'est pas possible, en l'état, de tenir une version des faits pour plus probable qu'une autre. Du déroulement des faits</w:t>
      </w:r>
    </w:p>
    <w:p>
      <w:r>
        <w:rPr>
          <w:b/>
        </w:rPr>
        <w:t>E. 2.6.3</w:t>
      </w:r>
    </w:p>
    <w:p>
      <w:r>
        <w:t>Il n'est pas contesté que l'intimée soit entrée de son plein gré dans la voiture de l'appelant et qu'une dispute a ensuite éclaté entre eux. Les récits concordent sur le fait que l'appelant a, au cours de cette dispute, tiré les cheveux de l'intimée et lui a asséné à tout le moins un coup au visage, avant que celle-ci ne lui inflige à son tour une morsure au niveau de la main. Il est enfin établi que l'appelant, qui est sorti de l'autoroute à Coppet, a finalement raccompagné l'intimée en voiture jusqu'à son travail, où elle est arrivée en retard, avant de rentrer chez elle et d'aller porter plainte au poste de police dans la soirée. Des cheveux tirés et des coups portés au visage de l'intimée</w:t>
      </w:r>
    </w:p>
    <w:p>
      <w:r>
        <w:rPr>
          <w:b/>
        </w:rPr>
        <w:t>E. 2.6.4</w:t>
      </w:r>
    </w:p>
    <w:p>
      <w:r>
        <w:t>Les versions des parties divergent sur la question de savoir si l'appelant a tiré les cheveux de l'intimée au moment où celle-ci saisissait son téléphone pour appeler à l'aide, ou bien s'il a agi de la sorte, comme il l'affirme, afin d'empêcher sa passagère de tomber de la voiture au moment où celle-ci a ouvert la portière. Rien dans le dossier ne permet de tenir une version pour plus probable qu'une autre. Il n'est cependant pas nécessaire de trancher cette question, dans la mesure où un tel geste doit être qualifié de voies de fait, au vu de la jurisprudence précédemment citée et en l'absence de lésions spécifiques. Déjà frappées par la prescription au moment du jugement querellé, ces voies de fait feront l'objet d'un classement.</w:t>
      </w:r>
    </w:p>
    <w:p>
      <w:r>
        <w:rPr>
          <w:b/>
        </w:rPr>
        <w:t>E. 2.6.5</w:t>
      </w:r>
    </w:p>
    <w:p>
      <w:r>
        <w:t>L'appelant est moins crédible lorsqu'il affirme avoir frappé l'intimée sans le faire exprès, avec le revers de la main, au moment où il refermait la portière. Une telle maladresse est en effet d'autant moins compréhensible que, selon ses explications, la voiture était à l'arrêt à ce moment-là et qu'il avait alors tout loisir de regarder ce qu'il faisait. Il paraît davantage probable que l'appelant ait délibérément asséné un coup à l'intimée, dans un geste d'agacement, la tension étant alors à son comble, après que sa passagère eut essayé de sortir du véhicule, l'appelant ayant d'ailleurs indiqué qu'un tel comportement l'avait " terrorisé ". Cela étant, il ressort du dossier, et en particulier des attestations et photos produites, que les lésions observées chez l'intimée étaient superficielles et paraissent ne lui avoir causé qu'un trouble passager, sur le plan physique à tout le moins. Il n'est au demeurant pas soutenable qu'un tel geste, qui s'apparente à une gifle, entraîne des conséquences sur le plan psychique du type d'un mal-être dont se prévaut l'intimée, au point de générer des effets sur le long terme et de se voir prescrire des médicaments tels que décrits sous let. b.a. in fine supra. À tout le moins, l'intimée ne met pas en avant de circonstances propres à démontrer un lien de causalité adéquat entre ce geste et les souffrances dénoncées. Autre est la question de la détresse ayant pu être causée par le fait d'être demeurée, pendant une période relativement longue, dans la voiture de l'appelant, comme développé ci-après (cf. consid. 4.2 infra ). Partant, dès lors que les blessures observées chez l'intimée ne franchissent manifestement pas le degré de gravité requis pour constituer des lésions corporelles simples, celles-ci doivent être considérées comme des voies de fait, lesquelles sont également frappées par la prescription. Il y a par conséquent lieu d'acquitter l'appelant de lésions corporelles simples, de classer la procédure du chef de voies de fait et de réformer le jugement querellé sur ces points. De la griffure et de la morsure infligées à l'appelant</w:t>
      </w:r>
    </w:p>
    <w:p>
      <w:r>
        <w:rPr>
          <w:b/>
        </w:rPr>
        <w:t>E. 2.6.6</w:t>
      </w:r>
    </w:p>
    <w:p>
      <w:r>
        <w:t>La griffure ainsi que la morsure infligées à l'appelant sont peu compatibles avec une attaque primaire et unilatérale, comme l'a affirmé celui-ci, mais correspondent davantage à un geste de défense de la part de l'intimée, ce qui est d'ailleurs en phase avec la chronologie des faits retenue, les actes en question prenant place après les voies de fait infligées par l'appelant. La Cour retiendra par conséquent que c'est uniquement pour se défendre que l'intimée a agi de la sorte, en utilisant un moyen proportionné, raison pour laquelle il n'y a pas lieu de la poursuivre en raison de ces faits, les conditions de la légitime défense étant réalisées. Le jugement querellé sera confirmé sur ce point. De la séquestration</w:t>
      </w:r>
    </w:p>
    <w:p>
      <w:r>
        <w:rPr>
          <w:b/>
        </w:rPr>
        <w:t>E. 2.6.7</w:t>
      </w:r>
    </w:p>
    <w:p>
      <w:r>
        <w:t>S'il est vrai que l'intimée était objectivement empêchée de sortir du véhicule de l'appelant au moment où celui-ci roulait à vive allure sur l'autoroute, force est de constater qu'une telle situation ne peut en tant que telle être assimilée à une séquestration, en l'absence de tout élément propre à démontrer que l'intimée aurait été empêchée de sortir en raison d'une menace, de violence, d'une ruse ou de tout autre élément propre à entraver sa liberté, comme on le verra ci-après. En effet, l'intimée a reconnu être montée volontairement dans le véhicule de l'appelant et rien dans le dossier ne permet de retenir qu'elle y aurait été enfermée sans possibilité aucune d'en sortir, comme le démontre le fait qu'elle soit parvenue à ouvrir la portière du véhicule à deux reprises, une première fois sur l'autoroute et une seconde fois à son arrivée à Genève, ce qui tend à démontrer qu'à aucun moment, l'appelant n'a verrouillé le véhicule. Il apparaît ainsi que l'intimée a renoncé à sortir de la voiture lorsque celle-ci était à l'arrêt sur la bande d'arrêt d'urgence, certes dans des conditions peu favorables, mais certainement moins dangereuses que quelques minutes auparavant alors qu'ils circulaient à pleine vitesse, ce qui tend à démontrer qu'elle n'y était pas retenue contre son gré. Il sied par ailleurs de relever qu'entre la sortie d'autoroute et la rue 2______ où l'appelant s'est arrêté, il y a de nombreux feux de signalisation et de priorités à céder, constituant autant de possibilités pour l'intimée de prendre la fuite si elle était réellement retenue contre son gré, étant rappelé que les portières n'étaient pas verrouillées. La durée du trajet (trois heures), laquelle semble anormalement longue compte tenu de l'itinéraire emprunté, plaide en effet en faveur de plusieurs arrêts effectués par le véhicule. Or, l'intimée n'a saisi aucune de ces opportunités, attendant que l'appelant la dépose comme prévu à son travail, où elle s'est rendue, ne portant plainte que le soir en question. Rien n'indique non plus qu'elle aurait été empêchée de s'échapper en raison d'une menace, un tel comportement ayant précisément été écarté par le premier juge, sans que cela ne soit contesté en appel. Quant aux indications données par le témoin H______ au sujet des termes menaçants utilisés par l'appelant au téléphone, celles-ci ne permettent pas d'aboutir à une autre conclusion, le mari de l'intimée ayant varié dans ses déclarations, qu'il a formulées une première fois par écrit plus de trois mois après les faits, avant d'être entendu par le MP, ce qui donne à son témoignage une force probante très limitée. Si le choix peu judicieux de l'itinéraire pourrait constituer une ruse visant à retenir l'intimée prisonnière, force est de constater que l'appelant a déclaré qu'il n'était pas inhabituel, lorsqu'ils se fréquentaient, qu'il la dépose à son travail en prenant l'autoroute jusqu'à Versoix puis en revenant ensuite vers le centre-ville de Genève par la rue de Lausanne, afin de passer plus de temps ensemble à l'abri des regards. Une telle explication ne paraît pas dénuée de pertinence, vu la clandestinité de leur relation. Quant au fait d'être sorti de l'autoroute à Coppet et non à Versoix, rien dans le dossier ne permet de douter des explications de l'appelant tendant à dire qu'il s'agirait d'une erreur d'inattention de sa part en raison de sa dispute avec l'intimée. L'usage de la violence est certes avéré (cf. consid. 2.6.4 et 2.6.5 supra ) et il est compréhensible que l'intimée ait pu ressentir de l'insécurité dans le véhicule de l'appelant. Une tel sentiment, qui peut d'ailleurs également découler des circonstances difficiles d'une rupture, ne paraît cependant pas propre à avoir été de nature à priver l'intimée de ses moyens. La Cour retient ainsi que l'usage de la violence et le sentiment d'insécurité décrit par l'intimée s'inscrivent davantage dans le cadre d'une dispute de couple, lors de laquelle les deux protagonistes ont adopté un comportement agressif, que comme un moyen de terroriser l'intimée et de lui ôter ainsi toute liberté d'action. Au vu du ce qui précède, il ne peut être établi avec suffisamment de certitude que l'intimée a été réellement et durablement privée de sa liberté, ni que l'appelant a eu l'intention de la séquestrer, fût-ce par dol éventuel, n'ayant jamais accepté un tel résultat. Le doute doit lui profiter et il y a lieu de l'acquitter du chef de séquestration. Le jugement querellé sera par conséquent réformé sur ce point. Des injures proférées par l'une et l'autre des parties</w:t>
      </w:r>
    </w:p>
    <w:p>
      <w:r>
        <w:rPr>
          <w:b/>
        </w:rPr>
        <w:t>E. 2.6.8</w:t>
      </w:r>
    </w:p>
    <w:p>
      <w:r>
        <w:t>En l'espèce, bien que les parties aient admis qu'elles s'étaient mutuellement insultées, il n'est pas possible de déterminer avec exactitude lequel des deux protagonistes a commencé. Il transparaît cependant du dossier que les injures proférées par l'intimée l'ont manifestement été dans un état d'excitation excusable, compte tenu de l'agressivité de l'appelant à son égard. Partant, il sera renoncé à toute poursuite à son encontre pour ce chef d'infraction.</w:t>
      </w:r>
    </w:p>
    <w:p>
      <w:r>
        <w:rPr>
          <w:b/>
        </w:rPr>
        <w:t>E. 2.6.9</w:t>
      </w:r>
    </w:p>
    <w:p>
      <w:r>
        <w:t>Dans le cas de l'appelant, il sera fait application de l'art. 177 al. 3 CP, dans la mesure où il est établi que des injures ont été proférées sur une base réciproque, dans un très court laps de temps, et qu'il ne peut être écarté que l'appelant ait simplement riposté. Le jugement querellé sera donc confirmé s'agissant de l'intimée et réformé en faveur de l'appelant, qui sera exempté de peine.</w:t>
      </w:r>
    </w:p>
    <w:p>
      <w:r>
        <w:rPr>
          <w:b/>
        </w:rPr>
        <w:t>E. 3</w:t>
      </w:r>
    </w:p>
    <w:p>
      <w:r>
        <w:t>3.1.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3.2.1. Aux termes de l'art. 428 al. 3 CPP, si l'autorité de recours rend elle-même une nouvelle décision, elle se prononce également sur les frais fixés par l'autorité inférieure. 3.2.2.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3.3</w:t>
      </w:r>
    </w:p>
    <w:p>
      <w:r>
        <w:t>Les frais de la procédure de première instance demeureront à la charge de l'appelant à raison d'une moitié, celui-ci ayant fautivement provoqué l'ouverture de la procédure pénale (art. 426 al. 2 CPP) en infligeant des voies de fait à l'intimée, étant précisé qu'il n'a bénéficié d'un classement pour ce chef d'infraction qu'en raison de la prescription. Le solde de ces frais sera laissé à la charge de l'Etat.</w:t>
      </w:r>
    </w:p>
    <w:p>
      <w:r>
        <w:rPr>
          <w:b/>
        </w:rPr>
        <w:t>E. 3.4</w:t>
      </w:r>
    </w:p>
    <w:p>
      <w:r>
        <w:t>L'appelant, qui succombe s'agissant de ses conclusions tendant à ce qu'un verdict de culpabilité soit rendu à l'encontre de l'intimée, supportera la moitié des frais de la procédure d'appel, comprenant un émolument de jugement de CHF 2'000.-. Le solde de ces frais sera laissé à la charge de l'Etat.</w:t>
      </w:r>
    </w:p>
    <w:p>
      <w:r>
        <w:rPr>
          <w:b/>
        </w:rPr>
        <w:t>E. 4</w:t>
      </w:r>
    </w:p>
    <w:p>
      <w:r>
        <w:t>4.1.1.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et lorsqu'il acquitte le prévenu et que l'état de fait est suffisamment établi (let. b). 4.1.2. Aux termes de l'art. 126 al. 2 let. a CPP, lorsque la procédure pénale est classée, la partie plaignante est renvoyée à agir par la voie civile. Le classement de la procédure par le tribunal est notamment régi par l'art. 329 al. 4 CPP, à teneur duquel lorsqu'un jugement ne peut définitivement pas être rendu, le tribunal classe la procédure, après avoir accordé le droit d'être entendu aux parties ainsi qu'au tiers touchés par la décision de classement.</w:t>
      </w:r>
    </w:p>
    <w:p>
      <w:r>
        <w:rPr>
          <w:b/>
        </w:rPr>
        <w:t>E. 4.2</w:t>
      </w:r>
    </w:p>
    <w:p>
      <w:r>
        <w:t>La Cour retient que l'accumulation d'éléments délétères tels qu'une séparation, une dispute houleuse, des injures et des voies de fait ont pu conduire l'intimée à se sentir véritablement prise au piège dans le véhicule de l'appelant et provoquer chez elle un traumatisme similaire à celui d'une victime de séquestration. C'est d'ailleurs ce qui expliquerait les séquelles observées chez l'intimée sur le plan psychologique, attestées médicalement et dont il n'y a aucune raison de douter. Cela étant, au vu des acquittements et classements prononcés, l'intimée sera renvoyée à agir par la voie civile s'agissant de son tort moral.</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5.2</w:t>
      </w:r>
    </w:p>
    <w:p>
      <w:r>
        <w:t>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ACPR/89/2017 du 23 février 2017). En cas d'assujettissement, l'équivalent de la TVA est versé en sus. 5.3.1. Conformément à l'art. 433 al. 1 let. b CPP, il se justifie d'entrer en matière sur une indemnisation de l'intimée pour la procédure de première instance, dès lors que A______ a été condamné au paiement d'une partie des frais de ladite procédure, au sens de l'art. 426 al. 2 CPP. 5.3.2. En première instance, l'intimée a requis le versement d'une indemnité totale de CHF 7'500.- correspondant aux honoraires de son avocate. A______ ayant été condamné à supporter la moitié des frais de la procédure de première instance, il convient de réduire l'indemnité allouée à la partie plaignante pour les dépenses liées aux honoraires dans la même proportion. Dite indemnité sera en définitive fixée à CHF 3'750.- et mise à la charge de A______ (art. 433 al. 1 let. b CPP). 5.3.3. Vu l'issue de l'appel, le jugement querellé ayant été confirmé s'agissant des faits reprochés à l'intimée, mais celle-ci ayant été renvoyée à agir par la voie civile pour son tort moral, il se justifie de lui allouer la moitié de l'indemnité requise, soit CHF 3'515.15, laquelle sera mise à la charge de A______ (art. 433 al. 1 let. b CPP).</w:t>
      </w:r>
    </w:p>
    <w:p>
      <w:r>
        <w:rPr>
          <w:b/>
        </w:rPr>
        <w:t>E. 6</w:t>
      </w:r>
    </w:p>
    <w:p>
      <w:r>
        <w:t>.1.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6.4</w:t>
      </w:r>
    </w:p>
    <w:p>
      <w:r>
        <w:t>En l'occurrence, l'état de frais déposé par M e B______ est conforme aux principes rappelés ci-dessus, à l'exception du temps consacré à la rédaction de la déclaration d'appel, activité couverte par le forfait, et de ladite majoration forfaitaire qui doit être ramenée à 10%. Sa rémunération sera arrêtée à CHF 2'310.15 correspondant à 9h15 d'activité au tarif de CHF 200.-/heure (CHF 1'850.-), plus une vacation à CHF 100.-, la majoration forfaitaire de 10% (CHF 195.-) et la TVA au taux de 7,7% (CHF 165.15).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