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GE_GERICHTE P/7992/2021 vom 28. Juni 2022</w:t>
      </w:r>
    </w:p>
    <w:p>
      <w:r>
        <w:t>GE Cour de justice, 2022-06-28, FR</w:t>
      </w:r>
    </w:p>
    <w:p>
      <w:r>
        <w:rPr>
          <w:b/>
        </w:rPr>
        <w:t xml:space="preserve">Quelle: </w:t>
      </w:r>
      <w:r>
        <w:t>https://mcp.opencaselaw.ch/entscheid/ge_gerichte_P_7992_2021</w:t>
      </w:r>
    </w:p>
    <w:p>
      <w:r>
        <w:t>FR: GE_GERICHTE P/7992/2021 du 28 juin 2022</w:t>
      </w:r>
    </w:p>
    <w:p>
      <w:r>
        <w:t>IT: GE_GERICHTE P/7992/2021 del 28 giugno 2022</w:t>
      </w:r>
    </w:p>
    <w:p>
      <w:pPr>
        <w:pStyle w:val="Heading2"/>
      </w:pPr>
      <w:r>
        <w:t>Regeste</w:t>
      </w:r>
    </w:p>
    <w:p>
      <w:r>
        <w:t>ORDONNANCE DE NON-ENTRÉE EN MATIÈRE;APPROPRIATION ILLÉGITIME;ACCÈS INDU À UN SYSTÈME INFORMATIQUE;UTILISATION FRAUDULEUSE D'UN ORDINATEUR;SOUSTRACTION DE DONNÉES(ART. 143 CP) | CPP.310; CP.31; CP.137; CP.143bis; CP.147; CP.179bis; CP.179novies</w:t>
      </w:r>
    </w:p>
    <w:p>
      <w:pPr>
        <w:pStyle w:val="Heading2"/>
      </w:pPr>
      <w:r>
        <w:t>Erwägungen</w:t>
      </w:r>
    </w:p>
    <w:p>
      <w:r>
        <w:rPr>
          <w:b/>
        </w:rPr>
        <w:t>E. 1</w:t>
      </w:r>
    </w:p>
    <w:p>
      <w:r>
        <w:t>Le recours est recevable pour avoir été déposé selon la forme et – faute de notification conforme à l'art. 85 al. 2 CPP – dans le délai prescrits (art. 385 al. 1 et 396 al. 1 CPP), concerner une ordonnance sujette à recours auprès de la Chambre de céans (art. 393 al. 1 let. a CPP) et émaner du plaignant qui, partie à la procédure (art. 104 al. 1 let. b CPP), a qualité pour agir, ayant un intérêt juridiquement protégé à la modification ou à l'annulation de la décision querellée (art. 382 al. 1 CPP).![endif]&gt;![if&gt;</w:t>
      </w:r>
    </w:p>
    <w:p>
      <w:r>
        <w:rPr>
          <w:b/>
        </w:rPr>
        <w:t>E. 2</w:t>
      </w:r>
    </w:p>
    <w:p>
      <w:r>
        <w:t>Le recourant fait grief au Ministère public d'avoir omis d'évoquer l'expertise privée remise à la police. ![endif]&gt;![if&gt;</w:t>
      </w:r>
    </w:p>
    <w:p>
      <w:r>
        <w:rPr>
          <w:b/>
        </w:rPr>
        <w:t>E. 2.1</w:t>
      </w:r>
    </w:p>
    <w:p>
      <w:r>
        <w:t>La garantie du droit d'être entendu, déduite de l'art. 29 al. 2 Cst., impose à l'autorité de motiver ses décisions, afin que les parties puissent les comprendre et apprécier l'opportunité de les attaquer, et que les autorités de recours soient en mesure d'exercer leur contrôle (ATF 136 I 229 consid. 5.2 p. 236; 135 I 265 consid. 4.3 p. 276). Il y a violation de ce droit si l'autorité ne satisfait pas à son devoir minimum d'examiner les problèmes pertinents (ATF 141 V 557 consid. 3.2.1 p. 565; arrêt du Tribunal fédéral 6B_28/2011 du 7 avril 2011). L'autorité intimée n'a pas l'obligation d'exposer et de discuter tous les faits, moyens de preuve et griefs invoqués par les parties, mais elle peut au contraire se limiter à ceux qui n'apparaissent pas d'emblée dépourvus de pertinence (ATF 130 II 530 consid. 4.3 p. 540). Une autorité se rend toutefois coupable d'un déni de justice formel prohibé par l'art. 29 al. 2 Cst. si elle omet de se prononcer sur des griefs qui présentent une certaine pertinence ou de prendre en considération des allégués et arguments importants pour la décision à prendre (ATF 138 V 125 consid. 2.1 p. 127; 133 III 235 consid. 5.2 p. 248; arrêt du Tribunal fédéral 1B_524/2012 du 15 novembre 2012 consid. 2.1).</w:t>
      </w:r>
    </w:p>
    <w:p>
      <w:r>
        <w:rPr>
          <w:b/>
        </w:rPr>
        <w:t>E. 2.2</w:t>
      </w:r>
    </w:p>
    <w:p>
      <w:r>
        <w:t>Le droit d'être entendu est une garantie constitutionnelle de caractère formel, dont la violation doit entraîner l'annulation de la décision, indépendamment des chances de succès du recours sur le fond (ATF 135 I 187 consid. 2.2 p. 190). À titre exceptionnel, une violation du droit d'être entendu, pour autant qu'elle ne soit pas particulièrement grave, peut être considérée comme réparée lorsque la partie concernée a la possibilité de s'exprimer devant une autorité de recours disposant d'un pouvoir d'examen complet quant aux faits et au droit. Par ailleurs, même si la violation du droit d'être entendu est grave, une réparation du vice procédural devant l'autorité de recours est également envisageable si le renvoi à l'autorité inférieure constituerait une vaine formalité. L'allongement inutile de la procédure qui en découlerait est, en effet, incompatible avec l'intérêt de la partie concernée à ce que sa cause soit tranchée dans un délai raisonnable (ATF 137 I 195 consid 2.3.2 p. 197; 136 V 117 consid. 4.2.2.2 p. 126).</w:t>
      </w:r>
    </w:p>
    <w:p>
      <w:r>
        <w:rPr>
          <w:b/>
        </w:rPr>
        <w:t>E. 2.3</w:t>
      </w:r>
    </w:p>
    <w:p>
      <w:r>
        <w:t>En l'occurrence, il est exact que le Ministère public ne mentionne pas l'expertise privée dans l'ordonnance querellée, bien que ce document figurait au dossier. La question de savoir si cela constitue un déni de justice formel peut toutefois souffrir de rester indécise, en tant que l'autorité intimée a complété, dans ses observations, son raisonnement, exposant que ladite expertise n'était pas apte à fonder une prévention pénale à l'égard des mis en cause. Pour le surplus, la violation alléguée du droit d'être entendu aura ici été réparée, étant encore rappelé que la Chambre de céans dispose d'un plein pouvoir de cognition en droit, en fait et en opportunité (art. 393 al. 2 CPP) (ATF 137 I 195 consid. 2.3.2 p. 197).</w:t>
      </w:r>
    </w:p>
    <w:p>
      <w:r>
        <w:rPr>
          <w:b/>
        </w:rPr>
        <w:t>E. 3</w:t>
      </w:r>
    </w:p>
    <w:p>
      <w:r>
        <w:t>Le recourant reproche au Ministère public de ne pas avoir ouvert une instruction. ![endif]&gt;![if&gt; 3.1.1. Selon l'art. 310 al. 1 let. a CPP, le ministère public rend immédiatement une ordonnance de non-entrée en matière s'il ressort de la dénonciation ou du rapport de police que les éléments constitutifs de l'infraction ou les conditions à l'ouverture de l'action pénale ne sont manifestement pas réunis. Selon la jurisprudence, cette disposition doit être appliquée conformément à l'adage " in dubio pro duriore " (arrêt 6B_1456/2017 du 14 mai 2018 consid. 4.1 et les références citées), qui découle du principe de la légalité (art. 5 al. 1 Cst. et 2 al. 1 CPP en relation avec les art. 309 al. 1, 319 al. 1 et 324 CPP; ATF 138 IV 86 consid. 4.2 p. 91) et signifie qu'en principe, une non-entrée en matière ne peut être prononcée par le ministère public que lorsqu'il apparaît clairement que les faits ne sont pas punissables ou que les conditions à la poursuite pénale ne sont pas remplies. Le ministère public et l'autorité de recours disposent, dans ce cadre, d'un certain pouvoir d'appréciation. La procédure doit se poursuivre lorsqu'une condamnation apparaît plus vraisemblable qu'un acquittement ou lorsque les probabilités d'acquittement et de condamnation apparaissent équivalentes, en particulier en présence d'infraction grave (ATF 143 IV 241 consid. 2.2.1 p. 243; ATF 138 IV 86 consid. 4.1.2 p. 91; ATF 137 IV 285 consid. 2.5 p. 288; arrêts du Tribunal fédéral 6B_417/2017 du 10 janvier 2018 consid. 2.1.2; 6B_185/2016 du 30 novembre 2016 consid. 2.1.2 et les références). Des motifs de fait peuvent justifier la non-entrée en matière. Il s'agit des cas où la preuve d'une infraction, soit de la réalisation en fait de ses éléments constitutifs, n'est pas apportée par les pièces dont dispose le ministère public. Il faut que l'insuffisance de charges soit manifeste. Le procureur doit examiner si une enquête, sous une forme ou sous une autre, serait en mesure d'apporter des éléments susceptibles de renforcer les charges contre la personne visée. Ce n'est que si aucun acte d'enquête ne paraît pouvoir amener des éléments susceptibles de renforcer les charges contre la personne visée que le ministère public peut rendre une ordonnance de non-entrée en matière (Y. JEANNERET/ A. KUHN / C. PERRIER DEPEURSINGE (éds), Commentaire romand: Code de procédure pénale suisse , 2 e éd., Bâle 2019, n. 9 ad art. 310; R. PFISTER-LIECHTI (éd.), La procédure pénale fédérale, Fondation pour la formation continue des juges suisses , Berne 2010, p. 62). 3.1.2. Une non-entrée en matière doit également être rendue lorsqu'il existe un empêchement de procéder, par exemple lorsque le délai pour déposer plainte prévu par l'art. 31 CP n'a pas été respecté (art. 310 al. 1 let. b CPP; arrêt du Tribunal fédéral 6B_848/2018 du 4 décembre 2018 consid. 1.5).</w:t>
      </w:r>
    </w:p>
    <w:p>
      <w:r>
        <w:rPr>
          <w:b/>
        </w:rPr>
        <w:t>E. 3.2</w:t>
      </w:r>
    </w:p>
    <w:p>
      <w:r>
        <w:t>Selon l'art. 31 CP, le droit de porter plainte se prescrit par trois mois. Le délai court du jour où l'ayant droit a connu l'auteur de l'infraction. 3.3.1. Selon l'art. 137 ch. 1 CP, se rend coupable d'appropriation illégitime celui qui, pour se procurer ou procurer à un tiers un enrichissement illégitime, se sera approprié une chose mobilière appartenant à autrui. Si l'auteur a agi au préjudice d'un proche ou sans dessein d'enrichissement illégitime, l'infraction ne sera poursuivie que sur plainte (art. 137 ch. 2 al. 2 CP). 3.3.2. Quiconque s’introduit sans droit, au moyen d’un dispositif de transmission de données, dans un système informatique appartenant à autrui et spécialement protégé contre tout accès de sa part est, sur plainte, puni d’une peine privative de liberté de trois ans au plus ou d’une peine pécuniaire (art. 143 bis ch. 1 CP). 3.3.3. Celui qui, dans le dessein de se procurer ou de procurer à un tiers un enrichissement illégitime, aura, en utilisant des données de manière incorrecte, incomplète ou indue ou en recourant à un procédé analogue, influé sur un processus électronique ou similaire de traitement ou de transmission de données et aura, par le biais du résultat inexact ainsi obtenu, provoqué un transfert d’actifs au préjudice d’autrui ou l’aura dissimulé aussitôt après sera puni d’une peine privative de liberté de cinq ans au plus ou d’une peine pécuniaire (art. 147 ch. 1 CP). L’utilisation frauduleuse d’un ordinateur au préjudice des proches ou des familiers ne sera poursuivie que sur plainte (art. 147 ch. 3 CP). 3.3.4. L'art. 179bis CP punit sur plainte, celui qui, sans le consentement de tous les participants, aura écouté à l'aide d'un appareil d'écoute ou enregistré sur un porteur de son une conversation non publique entre d'autres personnes (al. 1), tiré profit ou donné connaissance à un tiers d'un fait qu'il savait ou devait présumer être parvenu à sa propre connaissance au moyen d'une infraction visée à l'al. 1 (al. 2), ou conservé ou rendu accessible à un tiers un enregistrement qu'il savait ou devait présumer avoir été réalisé au moyen d'une infraction visée à l'al. 1 (al. 3). 3.3.5. Celui qui aura soustrait d’un fichier des données personnelles sensibles ou des profils de la personnalité qui ne sont pas librement accessibles sera, sur plainte, puni d’une peine privative de liberté de trois ans au plus ou d’une peine pécuniaire (art. 179 novies CP). La personne qui, intentionnellement, aura révélé d’une manière illicite des données personnelles secrètes et sensibles ou des profils de la personnalité portés à sa connaissance dans l’exercice d’une profession qui requiert la connaissance de telles données, est, sur plainte, punie de l’amende (art. 35 al. 1 LPD).  La révélation illicite de données personnelles secrètes et sensibles ou de profils de la personnalité demeure punissable alors même que les rapports de travail ou de formation ont pris fin (art. 35 al. 3 LPD).</w:t>
      </w:r>
    </w:p>
    <w:p>
      <w:r>
        <w:rPr>
          <w:b/>
        </w:rPr>
        <w:t>E. 3.4</w:t>
      </w:r>
    </w:p>
    <w:p>
      <w:r>
        <w:t>Un crime ou un délit qui est commis au sein d’une entreprise dans l’exercice d’activités commerciales conformes à ses buts est imputé à l’entreprise s’il ne peut être imputé à aucune personne physique déterminée en raison du manque d’organisation de l’entreprise. Dans ce cas, l’entreprise est punie d’une amende de cinq millions de francs au plus (art. 102 al. 1 CP). En cas d’infraction prévue aux art. 260 ter , 260 quinquies , 305 bis , 322 ter , 322 quinquies , 322 septies , al. 1, ou 322 octies , l’entreprise est punie indépendamment de la punissabilité des personnes physiques s’il doit lui être reproché de ne pas avoir pris toutes les mesures d’organisation raisonnables et nécessaires pour empêcher une telle infraction (art. 102 al. 2 CP).</w:t>
      </w:r>
    </w:p>
    <w:p>
      <w:r>
        <w:rPr>
          <w:b/>
        </w:rPr>
        <w:t>E. 3.5</w:t>
      </w:r>
    </w:p>
    <w:p>
      <w:r>
        <w:t>En l'espèce, l'infraction d'accès indu à un système informatique peut être d'emblée exclue, le délai de trois mois pour le dépôt de plainte n'ayant pas été respecté. En effet, les deux incidents dénoncés par le recourant remontent au mois de janvier 2020, respectivement septembre 2020, et, malgré les actions entreprises par celui-ci, il ne les a pas dénoncés pénalement. Il était par conséquent forclos au moment du dépôt de sa plainte le 13 avril 2021. Ensuite, le recourant met en cause une personne morale pour des infractions non comprises dans la liste de l'art. 102 al. 2 CP. Il n'allègue pas non plus – ni, a fortiori ne démontre – un manque d'organisation empêchant d'identifier les auteurs de celles dénoncées, accusant au contraire directement deux personnes physiques membres de la société. Il s'ensuit que les conditions pour une responsabilité pénale de B______ SA ne sont pas réalisées. Pour le surplus, aucun élément concret n'établit un lien entre les deux autres mis en cause et les agissements dénoncés, le recourant n'avançant que ses soupçons personnels. De son propre aveu, il ne se souvient pas de l'origine de la voiture " espion " qui se trouvait dans son bureau. Par ailleurs, les développements contenus dans l'expertise privée – laquelle n'ayant au demeurant la valeur que d'un simple allégué (ATF 142 II 355 consid. 6 p. 359) – désignent un large cercle de potentiels auteurs. Rien ne permet non plus de conclure que les mis en cause étaient présents lors de l'empaquetage de ses affaires personnelles par une entreprise de déménagement, ni qu'ils auraient ordonné la saisie de documents lui appartenant. Tout au plus, ils ont, tous les deux, déclaré qu'un contrat avait été retrouvé fortuitement après son départ, ce qui ne suffit à fonder une quelconque prévention pénale. La plainte apparaît ainsi infondée, en l'absence d'élément probant permettant d'imputer un quelconque rôle des mis en cause avec les actes dénoncés.</w:t>
      </w:r>
    </w:p>
    <w:p>
      <w:r>
        <w:rPr>
          <w:b/>
        </w:rPr>
        <w:t>E. 4</w:t>
      </w:r>
    </w:p>
    <w:p>
      <w:r>
        <w:t>Justifiée, l'ordonnance querellée sera donc confirmée. ![endif]&gt;![if&gt;</w:t>
      </w:r>
    </w:p>
    <w:p>
      <w:r>
        <w:rPr>
          <w:b/>
        </w:rPr>
        <w:t>E. 5</w:t>
      </w:r>
    </w:p>
    <w:p>
      <w:r>
        <w:t>Le recourant, qui succombe, supporter les frais envers l'État, fixés en intégralité à CHF 900.- (art. 428 al. 1 CPP et 13 al. 1 du Règlement fixant le tarif des frais en matière pénale, RTFMP ; E 4 10.03).![endif]&gt;![if&gt; * * * *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