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P/7967/2023 vom 23. Januar 2024</w:t>
      </w:r>
    </w:p>
    <w:p>
      <w:r>
        <w:t>GE Cour de justice, 2024-01-23, FR</w:t>
      </w:r>
    </w:p>
    <w:p>
      <w:r>
        <w:rPr>
          <w:b/>
        </w:rPr>
        <w:t xml:space="preserve">Quelle: </w:t>
      </w:r>
      <w:r>
        <w:t>https://mcp.opencaselaw.ch/entscheid/ge_gerichte_P_7967_2023</w:t>
      </w:r>
    </w:p>
    <w:p>
      <w:r>
        <w:t>FR: GE_GERICHTE P/7967/2023 du 23 janvier 2024</w:t>
      </w:r>
    </w:p>
    <w:p>
      <w:r>
        <w:t>IT: GE_GERICHTE P/7967/2023 del 23 gennaio 2024</w:t>
      </w:r>
    </w:p>
    <w:p>
      <w:pPr>
        <w:pStyle w:val="Heading2"/>
      </w:pPr>
      <w:r>
        <w:t>Regeste</w:t>
      </w:r>
    </w:p>
    <w:p>
      <w:r>
        <w:t>EXPERTISE PSYCHIATRIQUE;ADMINISTRATION DES PREUVES | CPP.20; CPP.189</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 cf. arrêt du Tribunal fédéral 1B_242/2018 du 6 septembre 2018 consid. 2.4).![endif]&gt;![if&gt;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conteste le principe d'être soumise à une expertise psychiatrique. ![endif]&gt;![if&gt;</w:t>
      </w:r>
    </w:p>
    <w:p>
      <w:r>
        <w:rPr>
          <w:b/>
        </w:rPr>
        <w:t>E. 3.1</w:t>
      </w:r>
    </w:p>
    <w:p>
      <w:r>
        <w:t>En vertu de l'art. 139 al. 1 CPP, les autorités pénales mettent en œuvre tous les moyens de preuves licites qui, selon l'état des connaissances scientifiques et l'expérience, sont propres à établir la vérité. L'art. 182 CPP prévoit que le ministère public et les tribunaux ont recours à un ou plusieurs experts lorsqu'ils ne disposent pas des connaissances et des capacités nécessaires pour constater ou juger un état de fait.![endif]&gt;![if&gt;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Commentaire romand : Code de procédure pénale suisse , 2 e éd., Bâle 2019, n. 1 ad art. 182 CPP).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 op. cit. , n. 4 ad art. 182). Dans certains cas, la loi prescrit le recours à un expert, par exemple lorsque le juge éprouve un doute sur la responsabilité du prévenu (art. 20 CP) ou en cas de prononcé d'une mesure au sens de l'art. 56 al. 3 CP ( op. cit. , n. 22 ad art. 182), étant précisé que chacune de ces dispositions fonde une obligation indépendante de mettre en œuvre une expertise (cf. S. TRECHSEL / M. PIETH, Schweizerisches Strafgesetzbuch, Praxiskommentar , 4 e éd., Zurich 2021, n. 3 ad art. 20).</w:t>
      </w:r>
    </w:p>
    <w:p>
      <w:r>
        <w:rPr>
          <w:b/>
        </w:rPr>
        <w:t>E. 3.2</w:t>
      </w:r>
    </w:p>
    <w:p>
      <w:r>
        <w:t>L'art. 20 CP dispose que l'autorité d'instruction ou le juge ordonne une expertise s'il existe une raison sérieuse de douter de la responsabilité de l'auteur.![endif]&gt;![if&gt;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7B_738/2023 du 30 novembre 2023 consid. 2.2.2). Une capacité délictuelle diminuée ne doit cependant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 116 IV 273 consid. 4b). Il s'agit d'une question d'appréciation (ATF 102 IV 225 consid. 7b). Estimer qu'il y a matière à doute quant à la responsabilité chaque fois qu'il est possible, voire vraisemblable, que les actes ont aussi une origine psychique serait excessif (arrêt du Tribunal fédéral 1B_213/2020 du 4 août 2020 consid. 3.1).</w:t>
      </w:r>
    </w:p>
    <w:p>
      <w:r>
        <w:rPr>
          <w:b/>
        </w:rPr>
        <w:t>E. 3.3</w:t>
      </w:r>
    </w:p>
    <w:p>
      <w:r>
        <w:t>En l'espèce, la recourante a produit, dans le cadre des procédures diligentées en Valais puis reprises à Genève, des certificats médicaux faisant état d'un trouble de la personnalité mixte avec des traits anxieux, dépendants, abandonniques et impulsifs, ainsi que mettant en lien une partie des infractions reprochées avec une consommation d'alcool et de produits psychotropes perturbateurs de son fonctionnement psychique. Un tel lien est corroboré par des déclarations de plaignants, de même que celles de la recourante, qui a elle-même affirmé être " trop délirante " et reconnu être impulsive. ![endif]&gt;![if&gt; Ces éléments permettent de soupçonner l'existence de troubles de santé de nature psychiatrique, voire d'une dépendance à l'alcool, de sorte qu'ils fondent un doute légitime sur la responsabilité pénale de la recourante, respectivement amènent à s'interroger sur la pertinence du prononcé d'une mesure, si elle devait être reconnue coupable des infractions reprochées. Cette situation commande le recours à une expertise psychiatrique. L'atteinte aux droits fondamentaux de la recourante se trouve dans un rapport raisonnable avec le but poursuivi, en raison de la gravité de certaines infractions reprochées – en particulier la tentative de lésions corporelles graves –, des nombreuses plaintes dont elle fait l'objet et des problématiques de santé qu'elle a elle-même soulevées. Enfin, contrairement à ce qu'affirme la recourante, le fait qu'elle envisage un suivi psychothérapeutique – lequel ne poursuit pas le même but qu'une expertise – ne permet pas de revenir sur ce qui précède, pas plus que l'absence de condamnation pour les faits reprochés ou les circonstances entourant ces derniers.</w:t>
      </w:r>
    </w:p>
    <w:p>
      <w:r>
        <w:rPr>
          <w:b/>
        </w:rPr>
        <w:t>E. 4</w:t>
      </w:r>
    </w:p>
    <w:p>
      <w:r>
        <w:t>Justifiée, la décision querellée sera donc confirmée. ![endif]&gt;![if&gt;</w:t>
      </w:r>
    </w:p>
    <w:p>
      <w:r>
        <w:rPr>
          <w:b/>
        </w:rPr>
        <w:t>E. 5</w:t>
      </w:r>
    </w:p>
    <w:p>
      <w:r>
        <w:t>La recourante, qui succombe, supportera les frais envers l'État, fixés en totalité à CHF 700.- pour la procédure de recours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