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P/7940/2007 vom 12. April 2019</w:t>
      </w:r>
    </w:p>
    <w:p>
      <w:r>
        <w:t>GE Cour de justice, 2019-04-12, FR</w:t>
      </w:r>
    </w:p>
    <w:p>
      <w:r>
        <w:rPr>
          <w:b/>
        </w:rPr>
        <w:t xml:space="preserve">Quelle: </w:t>
      </w:r>
      <w:r>
        <w:t>https://mcp.opencaselaw.ch/entscheid/ge_gerichte_P_7940_2007</w:t>
      </w:r>
    </w:p>
    <w:p>
      <w:r>
        <w:t>FR: GE_GERICHTE P/7940/2007 du 12 avril 2019</w:t>
      </w:r>
    </w:p>
    <w:p>
      <w:r>
        <w:t>IT: GE_GERICHTE P/7940/2007 del 12 aprile 2019</w:t>
      </w:r>
    </w:p>
    <w:p>
      <w:pPr>
        <w:pStyle w:val="Heading2"/>
      </w:pPr>
      <w:r>
        <w:t>Regeste</w:t>
      </w:r>
    </w:p>
    <w:p>
      <w:r>
        <w:t>TORT MORAL;INFRACTIONS CONTRE L'INTÉGRITÉ SEXUELLE | CP.190; CO.47; CO.49; CP.200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 Lorsqu'elle statue comme en l'espèce sur une action civile, elle est liée par les conclusions des parties, mais non par les moyens invoqués (art. 391 al. 1 CPP).</w:t>
      </w:r>
    </w:p>
    <w:p>
      <w:r>
        <w:rPr>
          <w:b/>
        </w:rPr>
        <w:t>E. 2</w:t>
      </w:r>
    </w:p>
    <w:p>
      <w:r>
        <w:t>Le verdict de culpabilité de viol aggravé au sens des articles 190 al. 1 et 3 et 200 CP est définitif ; le principe de l'allocation d'une indemnité au titre du tort moral l'est également. Seule est encore litigieuse la question de son montant. Le dispositif sera néanmoins corrigé d'office, dans la mesure où le Tribunal correctionnel a désigné par erreur l'aggravante de la « bande », qui ne figure pas à l'art. 190 CP, tout en désignant l'art. 200 CP qui aggrave la peine en cas de « commission en commun » d'une infraction contre l'intégrité sexuelle. Cette correction ne porte aucune atteinte à la situation de l'intimé, le dispositif entrepris mentionnant correctement l'art. 200 CP.</w:t>
      </w:r>
    </w:p>
    <w:p>
      <w:r>
        <w:rPr>
          <w:b/>
        </w:rPr>
        <w:t>E. 2.1</w:t>
      </w:r>
    </w:p>
    <w:p>
      <w:r>
        <w:t>En vertu de l'art. 47 de la loi fédérale du 30 mars 1911, complétant le Code civil suisse (CO - RS 220),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Dans le domaine du droit des assurances sociales, il est admis de longue date que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29 ). En application de cette jurisprudence, la SUVA a même édicté une table 19 relative à l'indemnisation des atteintes à l'intégrité pour séquelles psychiques d'accidents. Ce document retient notamment que la question du versement d'une indemnité pour atteinte à l'intégrité pour troubles psychiques s'étant développés après un accident ne doit être examinée que si le trouble diagnostiqué est sur le plan juridique en relation de causalité naturelle et adéquate avec l'événement accidentel d'une part et s'il a un caractère durable d'autre part, en d'autres termes s'il va persister de même manière pendant toute la vie. Ce document retient notamment que le diagnostic d'état de stress post-traumatique est relativement spécifique au titre des séquelles d'une lésion. En général, il n'est guère possible, en procédure pénale, de retenir l'existence d'une atteinte durable à la santé psychique, le principe de célérité (art. 5 CPP) conduisant à des jugements rapides, le peu de temps écoulé faisant ainsi obstacle à un diagnostic sur la persistance de la lésion. En raison des circonstances particulières de la présente espèce, on se trouve toutefois dans une situation où les médecins traitants de l'appelante ont constaté l'existence d'un état de stress post-traumatique durable, et il faut donc retenir que l'indemnisation du tort moral de l'appelante doit se fonder non seulement sur l'atteinte à sa personnalité consécutive au viol subi, conformément à l'art. 49 CO, mais aussi sur la lésion corporelle, soit l'atteinte psychique durable, les prétentions en réparation du tort moral fondées sur les art. 47 et 49 CO pouvant s'additionner (LANDOLT, Obligationenrecht. Die Entstehung durch unerlaubte Handlungen ; Zürich, 2007, n. 55 ad art. 47/49 CO).</w:t>
      </w:r>
    </w:p>
    <w:p>
      <w:r>
        <w:rPr>
          <w:b/>
        </w:rPr>
        <w:t>E. 2.2</w:t>
      </w:r>
    </w:p>
    <w:p>
      <w:r>
        <w:t>L'indemnité due à titre de réparation du tort moral consécutive à une lésion (art. 47 CO)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 2ème éd., 2011, p. 385 ; LANDOLT, op. cit. , n. 21 ss ad art. 47 CO). Selonla table susmentionnée de la SUVA, est qualifié de trouble psychique léger à modéré la situation dans laquelle la symptomatologie s'écarte nettement de la moyenne usuelle des singularités existant dans la population en général. Elle excède également les symptômes que l'on pourrait escompter dans le cadre d'une personnalité aux traits accentués préexistante ou d'un trouble névrotique ou d'autres symptômes s'étant développés après des événements existentiels décisifs. Les troubles d'anxiété, dépressifs ou du comportement ou une autre symptomatologie excèdent la moyenne usuelle caractérisant la symptomatologie d'accompagnement lors de troubles somatiques, de douleurs chroniques ou d'autres séquelles somatiques d'un événement accidentel. La symptomatologie est apparente lors de situations stressantes dans la vie quotidienne ou professionnelle. Cette table qualifie de trouble psychique modéré, celui qui, hormis la symptomatologie psychique observable et ses conséquences, conduit à un retentissement indubitable sur les facultés cognitives, telles que l'attention, la mémoire, la concentration et les fonctions exécutives complexes, qui ne se manifeste pas seulement dans des situations particulièrement stressantes, mais déjà face à des exigences qui dépassent la moyenne quotidienne et handicape la vie courante au point que la capacité de travail est réduite. Toujours selon la SUVA, un trouble léger à modéré représente une atteinte à l'intégrité de l'ordre de 20 à 35% ; un trouble modéré représente lui une atteinte de 50%. Cette proportion sert ensuite, en droit des assurances sociales, à la détermination de l'indemnité en proportion du salaire assuré, notion qui n'est pas transposable en droit pénal, mais qui fournit néanmoins une indication pour la première phase de l'évaluation du tort moral fondé sur l'art. 47 CO. Le Tribunal fédéral a d'ailleurs admis qu'il soit procédé au calcul de l'indemnité de base en se fondant par analogie sur les dispositions d'application de la loi fédérale sur l'assurance-accidents du 20 mars 1981 (LAA - RS 832.20), et en appliquant la proportion ainsi déterminée au montant maximal du salaire assuré selon cette législation, soit CHF 148'200.- (art. 22 de l'ordonnance sur l'assurance-accidents du 20 décembre 1982 [OLAA - RS 832.202] ; cf. BERGER, Die Genugtuung und ihre Bestimmung , in WEBER/MÜNCH [édit.], Haftung und Versicherung, 2ème éd. 2015, n 11.41 p. 512).</w:t>
      </w:r>
    </w:p>
    <w:p>
      <w:r>
        <w:rPr>
          <w:b/>
        </w:rPr>
        <w:t>E. 2.3</w:t>
      </w:r>
    </w:p>
    <w:p>
      <w:r>
        <w:t>En ce qui concerne l'indemnité fondée sur l'art. 49 CO, la méthode en deux phases ne trouve pas application, et l'ampleur de la réparation morale est déterminée selon le pouvoir d'appréciation du juge. Elle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Un ouvrage de doctrine récent s'est penché sur la question et aboutit à la détermination de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(BERGER, op.cit. , n 11.68 p. 521).</w:t>
      </w:r>
    </w:p>
    <w:p>
      <w:r>
        <w:rPr>
          <w:b/>
        </w:rPr>
        <w:t>E. 2.4</w:t>
      </w:r>
    </w:p>
    <w:p>
      <w:r>
        <w:t>En l'espèce, compte tenu des éléments médicaux figurant au dossier et en l'absence d'expertise, la CPAR retient que l'appelante présente une atteinte à son intégrité qui entrerait, selon les critères de la SUVA, dans la catégorie des atteintes légères à modérées, justifiant une indemnité de base de l'ordre de CHF 29'640 (20 % de CHF 148'200). Compte tenu de l'ensemble des circonstances de l'espèce, notamment de la façon dont les faits ont induit chez la partie plaignante un changement durable de comportement qui l'affecte encore profondément plus de dix ans après les faits, de la persistance de ses troubles qui ont handicapé son intégration dans la vie professionnelle, de son âge au moment des faits, la CPAR considère que l'indemnité pour tort moral fondée sur l'art. 47 CO doit s'élever à CHF 40'000.-. A ce montant s'ajoute l'indemnité fondée sur l'art. 49 CO. Le viol subi par l'appelante a été particulièrement grave, s'agissant d'une infraction commise en commun au détriment d'une jeune femme à l'aube de l'âge adulte. Les circonstances sordides de ce viol, les violences exercées qui ont conduit les premiers juges à retenir les circonstances aggravantes de la cruauté et de la commission en commun, le traumatisme de la victime qui s'est vue mourir, mais aussi les dénégations du prévenu qui ont visé à salir la victime et sa fuite en 2007, justifient assurément, indépendamment des conséquences à long terme sur la victime, une indemnité située dans le haut de la fourchette évoquée ci-dessus, dont le montant s'ajoute donc à la somme de CHF 40'000.- articulée ci-dessus. Cela étant, conformément à l'art. 391 al. 1 let. b CPP, la Cour de céans est liée par les conclusions de l'appelante qui chiffrent son tort moral à CHF 60'000.-. L'appel doit ainsi être intégralement admis et le jugement entrepris sera réformé en ce sens.</w:t>
      </w:r>
    </w:p>
    <w:p>
      <w:r>
        <w:rPr>
          <w:b/>
        </w:rPr>
        <w:t>E. 3</w:t>
      </w:r>
    </w:p>
    <w:p>
      <w:r>
        <w:t>Les motifs ayant conduit les premiers juges à prononcer, par ordonnance séparée du 12 avril 2019, le maintien de C______ en détention pour des motifs de sûreté sont toujours d'actualité, étant relevé que sa condamnation est entrée en force mais ne semble pas avoir encore fait l'objet d'une injonction d'exécuter la peine adressée au SAPEM, de sorte que la mesure sera en tant que de besoin reconduite mutatis mutandis (ATF 139 IV 277 consid. 2.2 à 2.3).</w:t>
      </w:r>
    </w:p>
    <w:p>
      <w:r>
        <w:rPr>
          <w:b/>
        </w:rPr>
        <w:t>E. 4</w:t>
      </w:r>
    </w:p>
    <w:p>
      <w:r>
        <w:t>L'intimé, qui succombe, supportera les frais de la procédure envers l'Etat, comprenant un émolument de jugement de CHF 2'500.- (art. 428 CPP).</w:t>
      </w:r>
    </w:p>
    <w:p>
      <w:r>
        <w:rPr>
          <w:b/>
        </w:rPr>
        <w:t>E. 5</w:t>
      </w:r>
    </w:p>
    <w:p>
      <w:r>
        <w:t>5.1.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5.2.1. En l'occurrence, l'état de frais produit par le conseil de l'appelante paraît adéquat et conforme aux dispositions et principes qui précèdent, sous la réserve de l'activité du stagiaire consistant dans la rédaction de la déclaration d'appel, activité qui fait partie de celle comprise dans la majoration forfaitaire. 5.2.2. L'état de frais produit par le conseil de l'intimé paraît adéquat et conforme aux dispositions et principes qui précèdent, de sorte qu'il sera admis sans en reprendre le détail. 5.3.1. En conclusion, l'indemnité due à M e B______ sera arrêtée à CHF 2'369.40 correspondant à dix heures d'activité au tarif de CHF 200.-/heure plus la majoration forfaitaire de 10%, l'activité totale dépassant dorénavant les 30 heures, et l'équivalent de la TVA au taux de 7.7% en CHF 169.40. 5.3.2. L'indemnité due à M e E______ sera arrêtée à CHF 2'326.30 correspondant à neuf heures d'activité au tarif de CHF 200.-/heure plus la majoration forfaitaire de 20% et l'équivalent de la TVA au taux de 7.7% en CHF 166.30.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