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P/7881/2023 vom 5. Juni 2023</w:t>
      </w:r>
    </w:p>
    <w:p>
      <w:r>
        <w:t>GE Cour de justice, 2023-06-05, FR</w:t>
      </w:r>
    </w:p>
    <w:p>
      <w:r>
        <w:rPr>
          <w:b/>
        </w:rPr>
        <w:t xml:space="preserve">Quelle: </w:t>
      </w:r>
      <w:r>
        <w:t>https://mcp.opencaselaw.ch/entscheid/ge_gerichte_P_7881_2023</w:t>
      </w:r>
    </w:p>
    <w:p>
      <w:r>
        <w:t>FR: GE_GERICHTE P/7881/2023 du 5 juin 2023</w:t>
      </w:r>
    </w:p>
    <w:p>
      <w:r>
        <w:t>IT: GE_GERICHTE P/7881/2023 del 5 giugno 2023</w:t>
      </w:r>
    </w:p>
    <w:p>
      <w:pPr>
        <w:pStyle w:val="Heading2"/>
      </w:pPr>
      <w:r>
        <w:t>Regeste</w:t>
      </w:r>
    </w:p>
    <w:p>
      <w:r>
        <w:t>DÉTENTION PROVISOIRE;RISQUE DE FUITE;RISQUE DE RÉCIDIVE;RÉCUSATION;PROPORTIONNALITÉ | CPP.221; CP.139; CP.144; CP.186; CPP.56.alf</w:t>
      </w:r>
    </w:p>
    <w:p>
      <w:pPr>
        <w:pStyle w:val="Heading2"/>
      </w:pPr>
      <w:r>
        <w:t>Erwägungen</w:t>
      </w:r>
    </w:p>
    <w:p>
      <w:r>
        <w:rPr>
          <w:b/>
        </w:rPr>
        <w:t>E. 1.1</w:t>
      </w:r>
    </w:p>
    <w:p>
      <w:r>
        <w:t>Partie à la procédure, en tant que prévenu (art. 104 al. 1 let. a CPP), le requérant a qualité pour agir en récusation (art. 58 al. 1 CPP), et la Chambre de céans est compétente pour connaître de sa requête, en tant qu'elle est dirigée contre un membre du tribunal de première instance (art. 59 al. 1 let. b CPP), soit en l'occurrence D______. Par contre, elle ne l'est pas en tant que la requête viserait tous les juges du TMC ayant anciennement occupés la fonction de Procureur au Ministère public, faute d'intérêt juridiquement protégé. 1.2.1. Le requérant estime qu'en sa qualité d'ancien Procureur et d'ancien collègue du Procureur en charge du dossier, D______ donnait l'apparence d'un parti pris en faveur du Ministère public. Ce constat était corroboré par le refus du magistrat d'enregistrer les débats et le refus de parloir avant l'audience. 1.2.2. 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1.2.3. En l'espèce, le seul fait que D______ ait anciennement occupé la fonction de Procureur ne le rend pas partial, faute d'éléments objectivés à l'appui, que le recourant échoue à démontrer. Ses refus de parloir et d'enregistrer les débats, signifiés le 5 juin 2023, ne sauraient fonder un motif de récusation a posteriori . Pour autant qu'elles soient sujettes à recours, ces décisions ne sont pas contestées ici par le recourant. La requête en récusation est rejetée. La composition du TMC n'étant aucunement viciée, l'ordonnance querellée ne saurait être déclarée nulle et le recourant remis en liberté pour ce motif.</w:t>
      </w:r>
    </w:p>
    <w:p>
      <w:r>
        <w:rPr>
          <w:b/>
        </w:rPr>
        <w:t>E. 2</w:t>
      </w:r>
    </w:p>
    <w:p>
      <w:r>
        <w:t>Le recourant n'a par contre aucun intérêt juridiquement protégé à solliciter, dans le cadre du présent recours, l'apport, par le TMC et la prison de B______, de statistiques générales sur le nombre d'admissions de requêtes de mises en détention provisoire, sur l'occupation de la prison ou sur le nombre de suicides enregistrés en ses murs ni à obtenir "une preuve" que l'établissement pénitentiaire respecte les standards nationaux et internationaux en matière d'interdiction de la torture et de traitements inhumains. Enfin, la Chambre de céans n'est pas compétente pour se saisir de ses doléances médicales ou ordonner la production de son "rapport de détention complet" , qui ressortent au droit administratif. Partant, ces conclusions sont irrecevables.</w:t>
      </w:r>
    </w:p>
    <w:p>
      <w:r>
        <w:rPr>
          <w:b/>
        </w:rPr>
        <w:t>E. 2.1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3</w:t>
      </w:r>
    </w:p>
    <w:p>
      <w:r>
        <w:t>Le recourant ne conteste pas les charges, qu'il a au demeurant grandement reconnues, de sorte qu'il n'y a pas lieu d'y revenir.</w:t>
      </w:r>
    </w:p>
    <w:p>
      <w:r>
        <w:rPr>
          <w:b/>
        </w:rPr>
        <w:t>E. 4</w:t>
      </w:r>
    </w:p>
    <w:p>
      <w:r>
        <w:t>Il conteste les risques de fuite et de récidive.</w:t>
      </w:r>
    </w:p>
    <w:p>
      <w:r>
        <w:rPr>
          <w:b/>
        </w:rPr>
        <w:t>E. 4.1</w:t>
      </w:r>
    </w:p>
    <w:p>
      <w:r>
        <w:t>S'agissant du premier, force est de constater que l'intéressé est ressortissant français, sans domicile fixe. Le risque qu'il se soustraie à la justice est donc très important. Les mesures de substitution qu'il propose ne sauraient pallier ce risque. L'obligation de déférer à toute convocation judiciaire ne reposerait que sur son seul engagement et, tout comme la présentation hebdomadaire à un poste de police, ne permettrait pas d'empêcher sa fuite mais seulement de la constater a posteriori . Il est par ailleurs inenvisageable et inconcevable de lui interdire de quitter le territoire suisse et/ou de de loger dans une chambre d'hôtel alors qu'il n'a pas le droit de séjourner dans notre pays, étant sous le coup d'une expulsion judiciaire. L'amalgame avec l'affaire zurichoise "P______" est hors de propos.</w:t>
      </w:r>
    </w:p>
    <w:p>
      <w:r>
        <w:rPr>
          <w:b/>
        </w:rPr>
        <w:t>E. 4.2</w:t>
      </w:r>
    </w:p>
    <w:p>
      <w:r>
        <w:t>Il existe en outre un risque de récidive, eu égard aux antécédents judiciaires de l'intéressé pour des faits similaires et à sa situation financière précaire, celui-ci étant sans revenu. Que le recourant affirme regretter ses actes n'est pas suffisant, tout comme son projet d'aller vivre chez son père à N______ [France] et de travailler à O______ [France] comme intérimaire, celui-ci n'étant nullement documenté. Aucune autre mesure de substitution n'entre en ligne de compte. Partant, c'est à bon droit que le TMC a considéré que les risques sus-énoncés ne pouvaient pas être palliés par des mesures de substitution.</w:t>
      </w:r>
    </w:p>
    <w:p>
      <w:r>
        <w:rPr>
          <w:b/>
        </w:rPr>
        <w:t>E. 5</w:t>
      </w:r>
    </w:p>
    <w:p>
      <w:r>
        <w:t>5.1.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si le recourant est certes soupçonné principalement de vol, dommages à la propriété et violation de domicile, la peine menace est élevée, le vol étant, à lui seul, un crime (art. 139 ch. 1 cum</w:t>
      </w:r>
    </w:p>
    <w:p>
      <w:r>
        <w:rPr>
          <w:b/>
        </w:rPr>
        <w:t>E. 10</w:t>
      </w:r>
    </w:p>
    <w:p>
      <w:r>
        <w:t>al. 2 CP). La multiplicité des infractions reprochées et les antécédents spécifiques du prévenu font que la durée de sa mise en détention provisoire reste bien en deçà de la peine concrètement encourue si les soupçons du Ministère public venaient à être confirmés. Par ailleurs, la durée de deux mois prononcée apparaît nécessaire pour permettre au Ministère public de clôturer son instruction et de renvoyer, le cas échéant, le recourant en jugement. Un mois n'est pas suffisant. On ne décèle dès lors aucune violation du principe de la proportionnalité. Que le recourant considère ses conditions de détention à la prison de B______ comme "exécrables" ne signifie pas qu'il serait soumis en ce lieu à des traitements inhumains ou dégradants. Là également, le principe de la proportionnalité n'est pas violé. En outre, le recourant ne saurait exiger d'exécuter sa détention provisoire dans un autre établissement pénitentiaire. 6. Le recours s'avère ainsi infondé et doit être rejeté. 7. Le recourant et requérant, qui succombe tant sur le recours que sur la demande de récusation, supportera les frais envers l'État, qui comprendront un émolument global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8. Le recourant plaide au bénéfice d'une défense d'office qu'il souhaite voir étendue à la procédure de recours. 8.1.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8. 2. En l'occurrence, quand bien même le recourant succombe, on peut admettre que l'exercice du présent recours ne procède pas d'un abus. Le recourant conclut à des dépens chiffrés à CHF 1'741.15 (TTC) pour l'activité déployée par son conseil d'office dans la présente instance, détaillée comme suit : 7h00 pour la rédaction du recours par Me C______ (les 5 et 6 juin 2023) et 1h05 pour les corrections/relectures effectuées par Me Q______, associé (le 6 juin 2023). Indépendamment du fait que l'on voit mal à quel titre l'associé de Me C______ est intervenu, plus de 8h00 d'activité rédactionnelle sont excessives pour un acte de recours de 21 pages (y compris 4 pages de garde et conclusions), dont seules 7 pages de développements topiques au fond, incluant 2 pages portant sur la demande de récusation – rejetée. Compte tenu de l'irrecevabilité de certains griefs, seules 3h00 d'activité, au tarif de CHF 200.-/heure, plus TVA, soit CHF 646.20, seront indemnisées.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