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P/7863/2013 vom 24. Mai 2016</w:t>
      </w:r>
    </w:p>
    <w:p>
      <w:r>
        <w:t>GE Cour de justice, 2016-05-24, FR</w:t>
      </w:r>
    </w:p>
    <w:p>
      <w:r>
        <w:rPr>
          <w:b/>
        </w:rPr>
        <w:t xml:space="preserve">Quelle: </w:t>
      </w:r>
      <w:r>
        <w:t>https://mcp.opencaselaw.ch/entscheid/ge_gerichte_P_7863_2013</w:t>
      </w:r>
    </w:p>
    <w:p>
      <w:r>
        <w:t>FR: GE_GERICHTE P/7863/2013 du 24 mai 2016</w:t>
      </w:r>
    </w:p>
    <w:p>
      <w:r>
        <w:t>IT: GE_GERICHTE P/7863/2013 del 24 maggio 2016</w:t>
      </w:r>
    </w:p>
    <w:p>
      <w:pPr>
        <w:pStyle w:val="Heading2"/>
      </w:pPr>
      <w:r>
        <w:t>Regeste</w:t>
      </w:r>
    </w:p>
    <w:p>
      <w:r>
        <w:t>ASSASSINAT; VOL(DROIT PÉNAL); INFRACTION D'IMPORTANCE MINEURE; FIXATION DE LA PEINE; TORT MORAL; FRAIS JUDICIAIRES; CLASSEMENT DE LA PROCÉDURE; DÉTENTION ILLICITE | CP.112; CP.139.1; CP.172ter; CPP.433; CPP.329.1.c; CPP.329.4; CPP.329.5; CO.47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ou encore sans motif apparent voire pour une broutille (ATF 141 IV 61 consid. 4.2).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ou le comportement que l'auteur adopte immédiatement après les faits n'entrent en ligne de compte que dans la mesure où ils y sont étroitement liés, et permettent de caractériser la personnalité de l'auteur (ATF 141 IV 61 consid. 4.1 p. 64 et suivante ; ATF 127 IV 10 consid. 1a p. 14 ; arrêts du Tribunal fédéral 6B_596/2014 du 23 décembre 2014 consid. 1.2 et 6B_1066/2013 du 27 février 2014 consid. 4.1).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64 et suivante ; ATF 127 IV 10 consid. 1a p. 13 ; 120 IV 265 consid. 3a p. 274 ; 118 IV 122 consid. 2b p.125 s. ; 117 IV 369 consid. 17 p. 389 ss et les références citées).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et 6B_1066/2013 précités). Il faut en revanche retenir l'assassinat lorsqu'il ressort des circonstances de l'acte que son auteur fait preuve du mépris le plus complet pour la vie d'autrui (ATF 141 IV 61 consid. 4.1 p. 64 et suivante ; 120 IV 265 consid. 3a p. 274 ; ATF 118 IV 122 consid. 2b p. 126 ; cf. également ATF 117 IV 369 consid. 19b p. 394 ; arrêt du Tribunal fédéral 6B_1066/2013 précité).</w:t>
      </w:r>
    </w:p>
    <w:p>
      <w:r>
        <w:rPr>
          <w:b/>
        </w:rPr>
        <w:t>E. 2.6</w:t>
      </w:r>
    </w:p>
    <w:p>
      <w:r>
        <w:t>En conclusion, le verdict de culpabilité du chef d'assassinat, sans faits justificatifs ni circonstance atténuante, doit être confirmé et l'appel rejeté sur ce point.</w:t>
      </w:r>
    </w:p>
    <w:p>
      <w:r>
        <w:rPr>
          <w:b/>
        </w:rPr>
        <w:t>E. 3</w:t>
      </w:r>
    </w:p>
    <w:p>
      <w:r>
        <w:t>3.1.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6B_1140/2014 du 3 mars 2016 consid. 3.1 destiné à la publication).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w:t>
      </w:r>
    </w:p>
    <w:p>
      <w:r>
        <w:rPr>
          <w:b/>
        </w:rPr>
        <w:t>E. 3.2</w:t>
      </w:r>
    </w:p>
    <w:p>
      <w:r>
        <w:t>L'appel, tel que précisé à l'ouverture des débats, en ce qui concerne l'infraction de vol doit être admis, la soustraction d'une somme d'environ CHF 20.- tombant sous la qualification juridique de vol d'importance mineure, soit une contravention, qui n'est poursuivie que sur plainte, alors qu'une plainte de ce chef n'a pas été déposée formellement. Le cas de figure dans lequel il faut retenir le délit de vol parce que l'auteur soustrait un portemonnaie dont il ne peut exclure que la valeur, contenu compris, soit supérieure à CHF 300.- n'est pas réalisés en l'occurrence, puisque l'appelant n'a apparemment pas eu l'intention de subtiliser le portemonnaie de la victime. Il l'a uniquement ouvert, pour en prendre le contenu, dont il connaissait partant la valeur exacte lorsqu'il l'a dérobé. Par ailleurs, les premiers juges ont a juste titre estimé qu'il n'était pas établi avec certitude que F______ portait encore sur lui, à 22h30, tout l'argent retiré en début d'après-midi dans un distributeur de billets, de sorte qu'il fallait privilégier la thèse la plus favorable à la défense au sujet de la somme en cause. Le jugement sera ainsi réformé sur ce point, l'infraction de vol étant classée, conformément aux dernières conclusions de l'appelant.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4.1.2.1. Selon la jurisprudence, lorsqu'une irrégularité constitutive d'une violation d'une garantie conventionnelle ou constitutionnelle a entaché la procédure relative à la détention provisoire, celle-ci peut être réparée par une décision de constatation (ATF 141 IV 349 consid. 2.1 p. 352 ; 140 I 246 consid. 2.5.1 p. 250 ; 138 IV 81 consid. 2.4 p. 85).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(ATF 139 IV 41 consid. 3.4 p. 45). Il appartient ensuite à l'autorité de jugement d'examiner les possibles conséquences des violations constatées, par exemple par le biais d'une indemnisation fondée sur l'art. 431 CPP ou, cas échéant, par une réduction de la peine (ATF 141 IV 349 consid. 2.1 p. 352 ; 140 I 246 consid. 2.5.1 p. 250 ; 140 I 125 consid. 2.1 p. 128 ; 139 IV 41 consid. 3.4 p. 45). 4.1.2.2. Procédant par analogie avec les cas de violation du principe de célérité, la jurisprudence de la CPAR tend à pratiquer une réduction en équité, en regard de l'ensemble des circonstances de l'espèce, plutôt que de définir des critères strictement mathématiques (notamment, AARP/122/2015 du 20 février 2015 consid. 4.4.3). À titre d'exemple, elle a récemment retenu qu'une réduction de peine de deux mois était équitable dans des cas où le prévenu avait subi 186, 179 ou encore 211 jours de détention indigne parce que ne satisfaisant aux exigences minima de l'art. 3 CEDH ( AARP/403/2015 du 23 septembre 2015 ; AARP/223/2015 du 15 mai 2015 ; AARP/122/2015 du 20 février 2015). 4.2.1. La faute de l'appelant est d'une extrême gravité. Il a supprimé une vie humaine, et a agi avec sauvagerie, s'acharnant sur sa victime, dans un déchaînement de violence. Le nombre de coups, leur localisation et les objets utilisés en guise d'arme, sont révélatrices d'une volonté d'annihiler, d'effacer la victime. L'appelant a refusé de révéler le motif de son acte. Il est permis de supposer qu'il a agi sous le coup d'une intense colère, ce que sa défense a d'ailleurs suggéré, mais l'origine en demeure inconnue, la relation sexuelle qui venait d'avoir lieu ayant été consentie. Il a donc tué un homme, dans des circonstances atroces, et sans motif apparent. Le comportement de l'appelant, que ce fut aussitôt après les faits et durant les jours qui ont précédé son arrestation, ou pendant la procédure, ne laisse apparaître aucune forme de prise de conscience, de regrets à l'égard de la victime ou de compassion authentique pour ses proches. Il a certes admis être l'auteur de l'homicide, ce qu'il ne pouvait guère nier, vu les éléments matériels à charge, mais a obstinément présenté une version des faits globalement fausse, sans vouloir en démordre alors même qu'elle était d'emblée peu crédible, et qu'elle relevait d'une stratégie de défense détestable dès lors qu'elle visait à faire porter à la victime, taxée de prédateur sexuel, la responsabilité de sa propre mort. La sincérité de l'émotion manifestée à diverses reprises par l'intéressé n'est pas remise en cause, mais celle-ci relevait du registre égoïste, l'appelant supportant mal la confrontation avec ses actes, en premier lieu desquels les actes homosexuels qu'il peine à accepter, et non de sentiments de culpabilité ou d'empathie. Il sera cependant retenu, en faveur de l'appelant, que celui-ci a néanmoins fait preuve d'une certaine sincérité, donnant des indications qui ont permis d'établir des faits qui n'auraient pas pu l'être sans son concours, notamment qu'il avait fouillé le portemonnaie de la victime, et subtilisé un peu d'argent, ou éteint les téléphones portables de celle-ci. La responsabilité pénale de l'appelant était entière et celui-ci ne souffre, à dire d'expert, d'aucune affection. Il n'y a pas d'autres circonstances atténuantes. La situation personnelle de l'appelant, sans être particulièrement favorable, ne permet pas davantage de trouver des explications. Il provient d'une famille unie, était marié et père. Certes, les conditions économiques l'ont amené à cesser ses études encore jeune et à quitter son pays, mais il ne s'est pas trouvé abandonné à lui-même, puisqu'il a rejoint son frère au TT______, où il a noué une relation sentimentale et eu un enfant ; renvoyé dans son pays, il est parti pour I______ où il s'est aussi rapidement intégré, y trouvant une épouse et une nouvelle famille. À le suivre, les faits ont eu lieu au moment où il s'apprêtait à retourner auprès de sa femme, et prendre un emploi. En résumé, son parcours atteste plutôt de ressources intérieures, dont une bonne capacité d'adaptation. L'appelant était jeune au moment des faits, ce qui incite à une certaine retenue dans la fixation de la peine. L'absence d'antécédents est en revanche un facteur neutre. Au regard de l'ensemble de ces éléments, la Cour retient qu'une peine de 16 ans sanctionne adéquatement l'assassinat commis par l'appelant. Il n'y a donc pas lieu de diminuer la peine prononcée par les premiers juges, notamment pas ensuite du classement de l'infraction de vol. En effet, érigée en délit, la soustraction d'environ CHF 20.- dans le porte-monnaie de la victime, fût-ce dans l'intention de prendre plus s'il y avait eu davantage d'argent, serait dénuée de poids dans la fixation de la peine, tant l'événement est, en tant que tel, dérisoire, face à l'assassinat commis ; les premiers juges se sont d'ailleurs contentés de mentionner qu'il y avait concours d'infraction, sans autre développement, soit sans indiquer si, et cas échéant dans quelle mesure, ils avaient augmenté la peine qu'ils retenaient adéquate pour l'infraction la plus grave, ce qui donne à penser que le vol retenu n'a en réalité pas pesé dans leur décision. En définitive, cette circonstance ne revêt de l'importance que parce qu'elle jette un éclairage négatif supplémentaire sur l'état d'esprit de l'auteur aussitôt après l'acte homicide. Le fait de ne pas réduire la peine, nonobstant ledit classement, ne contrevient au demeurant pas à la prohibition de la reformatio in pejus , étant rappelé que l'existence d'une violation de cette interdiction doit être examinée à l'aune du dispositif (ATF 141 IV 132 consid. 2.7.3 ; ATF 139 IV 282 consid. 2.6 = SJ 2015 I 461) et que celle-ci impose uniquement que, pris dans son ensemble, le nouveau jugement n'aggrave pas le sort du condamné (cf. ATF 117 IV 97 consid. 4c p. 106 ; 6B_849/2014 du 14 décembre 2015 consid. 1.1). 4.2.2. La peine doit cependant être réduite, afin de réparer le tort causé à l'appelant du fait des conditions de détentions indignes subies durant 253 jours selon le constat du TMC. En équité, une réduction de quatre mois ne saurait en tout cas être tenue pour insuffisante, la juridiction d'appel ne pouvant envisager d'en octroyer moins, puisque cela la conduirait à péjorer la situation de l'appelant. 4.2.3. En conclusion, l'appel est rejeté en ce qui concerne la peine.</w:t>
      </w:r>
    </w:p>
    <w:p>
      <w:r>
        <w:rPr>
          <w:b/>
        </w:rPr>
        <w:t>E. 5</w:t>
      </w:r>
    </w:p>
    <w:p>
      <w:r>
        <w:t>Conformément aux art 428 et 433 CPP,l'appelant sera encore condamné aux frais de la procédure d'appel, comprenant un émolument d'arrêt de CHF 5'000.- (art. 14 du règlement fixant le tarif des frais en matière pénale du 22 décembre 2010 [RTFMP ; E 4 10.03]) ainsi qu'à couvrir les honoraires d'avocate des parties plaignantes pour la procédure d'appel, dont il n'a discuté ni le principe, ni la quotité, et qui paraissent au demeurant raisonnables. La note d'honoraires sera uniquement réduite pour tenir compte de ce que les débats ont duré moins longtemps qu'envisagé par son auteure, soit huit heures (arrondi), plutôt que 12 heures.</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L'assistance juridique couvre le nombre d'heures nécessaires pour assurer la défense d'office du prévenu (art. 16 al. 2 RAJ ; arrêts du Tribunal fédéral arrêt 5D_4/2016 du 26 février 2016 consid. 4.3.3 ; 6B_810/2010 du 25 mai 2011 consid. 2 et les références citées ; 2C_509/2007 du 19 novembre 2007 consid. 4).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6.3</w:t>
      </w:r>
    </w:p>
    <w:p>
      <w:r>
        <w:t>Le nombre d'heures facturé par le défenseur d'office de l'appelant est conforme aux exigences qui précèdent. L'indemnité requise sera par conséquent octroyée par CHF 4'604.- pour 31 heures d'activité au tarif volontairement facturé au taux de CHF 125.-/heure (CHF 3'875.-), plus la majoration forfaitaire de 10% (CHF 388.-), vu le temps consacré à l'ensemble de la procédure, et l'équivalent de la TVA au taux de 8% (CHF 341.-).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