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P/7810/2010 vom 11. September 2012</w:t>
      </w:r>
    </w:p>
    <w:p>
      <w:r>
        <w:t>GE Cour de justice, 2012-09-11, FR</w:t>
      </w:r>
    </w:p>
    <w:p>
      <w:r>
        <w:rPr>
          <w:b/>
        </w:rPr>
        <w:t xml:space="preserve">Quelle: </w:t>
      </w:r>
      <w:r>
        <w:t>https://mcp.opencaselaw.ch/entscheid/ge_gerichte_P_7810_2010</w:t>
      </w:r>
    </w:p>
    <w:p>
      <w:r>
        <w:t>FR: GE_GERICHTE P/7810/2010 du 11 septembre 2012</w:t>
      </w:r>
    </w:p>
    <w:p>
      <w:r>
        <w:t>IT: GE_GERICHTE P/7810/2010 del 11 settembre 2012</w:t>
      </w:r>
    </w:p>
    <w:p>
      <w:pPr>
        <w:pStyle w:val="Heading2"/>
      </w:pPr>
      <w:r>
        <w:t>Regeste</w:t>
      </w:r>
    </w:p>
    <w:p>
      <w:r>
        <w:t>; LÉSION CORPORELLE SIMPLE ; LÉGITIME DÉFENSE ; PEINE PÉCUNIAIRE ; FRAIS DE LA PROCÉDURE | CP.123; CP.15; CP.34; CPP.428</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tout acte qui provoque un état maladif, l'aggrave ou en retarde la guérison, comme les blessures, les meurtrissures, les écorchures ou les griffures (…)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rPr>
          <w:b/>
        </w:rPr>
        <w:t>E. 2.2</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 /84).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83 ).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Traité de procédure pénale suisse , 2 e éd., 2006, n. 702, p. 443). 2.3.1 S'agissant des faits du 12 avril 2010, la partie plaignante n'a pas toujours été constante. Elle a été la seule à parler à l'instruction de trois chutes successives, ce que n'ont pas observé les témoins. La fiabilité de son récit est douteuse s'agissant de la strangulation qu'elle a dénoncée à la police pour la nier devant le juge d'instruction. Un étranglement opéré avec "toutes ses forces" est susceptible de laisser des traces sur le cou, ce que ne corroborent pas les certificats médicaux produits. La partie plaignante semble au demeurant avoir fortement exagéré la portée des coups, ainsi que leur durée qui n'est guère compatible avec la présence de simples bleus sur le corps de la victime selon les observations du témoin E______. Cette dernière décrit d'ailleurs une altercation avant tout verbale, motivée par le dénigrement de la partie plaignante après son licenciement. Contrairement à ce que soutient la partie plaignante, sa chute ne semble pas avoir été provoquée par un acte volontaire de l'appelant principal ou des coups qu'il aurait donnés, mais bien par un déséquilibre consécutif à un corps à corps où chacun essayait de se démarquer de l'autre. Le témoin E______ ne dit pas autre chose, en parlant d'une raison indéterminée qui avait provoqué la chute en arrière de la partie plaignante sur des objets mobiliers, l'appelant principal ayant surtout cherché à immobiliser la partie plaignante pour éviter de prendre des coups. Même si les liens affectifs l'unissant à l'appelant principal atténuent la force de son témoignage, l'autre hôtesse s'exprime dans le même sens, n'ayant observé aucun coup échangé. L'appelant principal a fait des déclarations qui témoignent de sa volonté de maîtriser la partie plaignante plutôt que de profiter de sa force, sans qu'on puisse établir que ses explications confinent au mensonge sur la seule base de la tromperie dont il a reconnu être l'auteur dans le volet financier de la cause. Les lésions constatées dans les certificats médicaux ne permettent pas d'infirmer la conclusion qui précède, dans la mesure où ils ne différencient pas les causes des blessures et que celles-ci peuvent indistinctement provenir des faits du 12 ou du 13 avril 2010. C'est sans compter qu'une chute en arrière, même accidentelle, peut provoquer des lésions constatables médicalement. Il s'ensuit que l'acquittement en première instance de X______ doit être confirmé, ce qui entraîne le rejet de l'appel joint du Ministère public sur ce point. 2.3.2.1 X______ plaide son acquittement pour les faits du 13 avril 2010. Le récit de la partie plaignante est à ce sujet plus constant, puisqu'elle a toujours décrit un geste volontaire de l'appelant principal qui l'avait faite trébucher en arrière, soit qu'il lui ait tiré le col, soit qu'il l'ait tapée sur la poitrine. Or, un contact avec pour effet de déstabiliser la partie plaignante est aussi décrit par le témoin F______, dont la fiabilité apparaît plus forte que celle de l'autre témoin pour les raisons déjà évoquées. Le témoin F______ a aussi confirmé l'existence d'un coup de poing à la tête alors que la partie plaignante était à terre, ce qu'elle a décrit tant à la police qu'à l'instruction. Le fait que l'appelant principal soit resté jusqu'à l'arrivée de la police ne l'exonère pas d'actes de violence pour lesquels sa culpabilité sera confirmée. 2.3.2.2 L'appelant principal plaide la légitime défense. Dans sa première déclaration de portée générale à la police, l'appelant principal situe l'épisode d'une agression au moyen d'un verre cassé après que les deux protagonistes furent tombés à terre. Devant le juge d'instruction et le premier juge, l'épisode intervient chronologiquement avant la chute, plus exactement avant la clé de bras qui aurait précédé la chute. Cette divergence tend déjà à affaiblir la force de la démonstration de l'appelant principal. A la police, la partie plaignante ne parle pas de l'épisode des verres brisés. Il en est de même du témoin F______. Seule le témoin D______ y fait allusion en déclarant avoir entendu des bruits de verre. La partie plaignante admet devant le juge d'instruction s'être retournée pour saisir quelque chose, sans le nommer. Les deux témoins n'y font aucune allusion. Il semble bien que la partie plaignante ait cherché à s'emparer d'un verre, mais, quoiqu'il en soit, cet épisode n'a pas laissé un souvenir marquant aux observateurs de la scène. Il est donc peu probable que cet événement ait revêtu l'importance significative que l'appelant principal veut lui donner. Si la partie plaignante s'était effectivement emparée d'un verre cassé en guise de menace, elle aurait probablement subi des coupures dans sa chute, ce que les certificats médicaux infirment. Quoiqu'il en soit, un tel épisode n'aurait pas pour effet d'exonérer l'appelant principal, puisqu'il dit lui-même avoir réussi à faire une clé de bras à la partie plaignante. C'est dire que la menace, pour autant qu'elle existât, n'était pas imminente au point qu'elle l'ait empêché de réagir. Même dans l'hypothèse la plus favorable à l'appelant principal, la violence exercée alors que tous deux étaient à terre, notamment le coup de poing assené à la partie plaignante, n'est pas dans une relation de cause à effet avec le comportement initial de la partie plaignante, fût-il menaçant. Ces actes de violence se sont exercés alors que l'appelant principal avait la maîtrise sur sa victime et qu'il n'avait plus rien à craindre d'elle. Ainsi l'appelant principal n'a-t-il pas usé de la force et d'actes de violence pour repousser une attaque imminente. Sa culpabilité sans circonstance atténuante sera donc confirmée pour les faits du 13 avril 2010.</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w:t>
      </w:r>
    </w:p>
    <w:p>
      <w:r>
        <w:rPr>
          <w:b/>
        </w:rPr>
        <w:t>E. 3.2</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tels les bénéficiaires de l'aide sociale, les personnes sans activité professionnelle (…) (ATF 134 IV 97 consid. 5.2.3 p. 104 ; arrêt du Tribunal fédéral 6B_541/2007 du 13 mai 2008 consid. 5.1).</w:t>
      </w:r>
    </w:p>
    <w:p>
      <w:r>
        <w:rPr>
          <w:b/>
        </w:rPr>
        <w:t>E. 3.3</w:t>
      </w:r>
    </w:p>
    <w:p>
      <w:r>
        <w:t>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(ATF 134 IV 1 consid. 5 et 6 p. 9 et 15 ; arrêt du Tribunal fédéral 6B_541/2007 du 13 mai 2008 consid. 5 et 6).</w:t>
      </w:r>
    </w:p>
    <w:p>
      <w:r>
        <w:rPr>
          <w:b/>
        </w:rPr>
        <w:t>E. 3.3.1</w:t>
      </w:r>
    </w:p>
    <w:p>
      <w:r>
        <w:t>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Basler Kommentar Strafrecht I : Art. 1-110 StGB, Jugendstrafgesetz , 2 e éd., Bâle 2007, n. 40 ad art. 34 ; arrêt du Tribunal fédéral 6B_541/2007 du 13 mai 2008 consid. 6.3).</w:t>
      </w:r>
    </w:p>
    <w:p>
      <w:r>
        <w:rPr>
          <w:b/>
        </w:rPr>
        <w:t>E. 3.3.2</w:t>
      </w:r>
    </w:p>
    <w:p>
      <w:r>
        <w:t>Le premier juge n'a fourni aucune explication quant à la fixation de 150 jours-amende en lieu et place de la sanction prononcée par le Ministère public par ordonnance pénale. Tout au plus peut-on lire entre les lignes que le contexte de rupture et de liquidation de la société avait pu jouer un rôle, chacune des parties se sentant légitimée à faire valoir ses droits. Il reste que la faute importante retenue par le premier juge pour le volet financier de la cause et celle qualifiée de non négligeable pour les atteintes à l'intégrité corporelle ne permettent pas de justifier une peine limitée à 150 jours-amende, même avec un acquittement partiel. La gravité des faits, la durée de la période pénale, le concours d'infractions, la collaboration moyenne de l'appelant principal constituent autant d'éléments propres à entraîner une sanction correspondant à celle fixée par ordonnance pénale. Il importe peu à cet égard qu'un acquittement partiel ait été prononcé, ce qui a pu inciter le premier juge a opérer une réduction linéaire de la sanction initialement prononcée. En choisissant la voie de l'ordonnance pénale, le Ministère public s'est autolimité à prononcer une sanction équivalente à 6 mois de privation de liberté en dépit d'une faute qui eût mérité une sanction plus sévère, comme il l'a plaidé. Qu'un prévenu ait pu être condamné à une peine artificiellement basse pour éviter la tenue d'un procès ne saurait empêcher une autorité de jugement de revenir sur ce choix par la suite. Aussi la peine ne doit-elle pas être fixée en fonction du plafond imposé par ordonnance pénale mais selon les critères de gravité de la faute qui auraient pu, en d'autres circonstances, inciter le Ministère public à requérir une peine supérieure et adaptée à la gravité objective de la faute. Cette conclusion s'impose d'autant plus que l'acquittement ne concerne pas l'infraction la plus grave, soit l'escroquerie réalisée sur une large échelle et durant près de 10 ans. Dans le même sens, il convient d'assortir la peine d'un délai d'épreuve qui ne soit pas réduit à son minimum, l'appelant principal ayant démontré par ses actes au préjudice de l'Hospice général qu'il était prêt à agir pendant une longue période sans se soucier du bien commun. Sa persévérance à tromper une institution sociale et sa situation matérielle actuelle obérée ne le mettent pas à l'abri d'un risque de délinquance sur le plan financier. Il sera ainsi fait droit à l'appel joint du Ministère public s'agissant de la quotité de la peine qui se justifie pleinement. Le jugement du Tribunal de police sera confirmé s'agissant de la durée du délai d'épreuve, ce qui entraine le rejet de l'appel principal sur ces deux points. 3.4.1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(Message concernant la modification du code pénal suisse [dispositions générales, entrée en vigueur et application du code pénal] et du code pénal militaire ainsi qu’une loi fédérale régissant la condition pénale des mineurs du 21 septembre 1998, FF 1999 p. 1824 ; ATF 134 IV 97 consid. 5.2.3 p. 104 ; arrêt du Tribunal fédéral 6B_541/2007 du 13 mai 2008 consid. 6.4.1). Celui qui subvient à ses besoins par ses revenus courants doit s'acquitter de la peine pécuniaire au moyen de ces derniers et se laisser ainsi restreindre dans son train de vie habituel, qu'il s'agisse de revenus du travail, de la fortune ou de rentes. La peine pécuniaire tend en effet avant tout à toucher l'auteur dans ses revenus et non dans les sources de ces derniers. La peine pécuniaire ne peut tendre à la confiscation totale ou partielle de la fortune. Cette dernière ne doit donc être prise en compte qu'à titre subsidiaire pour fixer la quotité du jour-amende, lorsque la situation patrimoniale, particulière, contraste avec un revenu comparativement faible. En d'autres termes, elle demeure significative lorsque l'auteur vit de toute façon de la substance même de sa fortune ; cette dernière constitue un élément pertinent dans la mesure où l'auteur en tire sa subsistance quotidienne (ATF 134 IV 97 consid. 5.2.3 p. 104 ; arrêt du Tribunal fédéral 6B_541/2007 du 13 mai 2008 consid. 6.4.2 ; F. BOMMER, "Die Sanktionen im neuen AT StGB – Ein Überblick", in: Revision des Allgemeinenen Teils des Strafgesetzbuches , p. 21 ss).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comme le critère du niveau de vie un effet correctif. Pour les condamnés qui vivent en-dessous ou au seuil du minimum vital, le jour-amende doit être réduit dans une telle mesure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Lorsque le nombre des jours-amende est considérable – en particulier au-delà de 90 jours-amende – une réduction supplémentaire de 10 à 30% est indiquée car la contrainte économique, partant le caractère pénible de la sanction, croît en proportion de la durée de la peine (A. DOLGE, op. cit., n. 48 et 85 ad art. 34 et les références). La situation financière concrète est toujours déterminante (arrêt du Tribunal fédéral 6B_541/2007 du 13 mai 2008 consid. 6.4.5). 3.4.2 Il ne peut être nié que l'appelant principal est dans une situation financière obérée. Sa situation actuelle est celle d'une personne sans revenus et dépourvue d'aide sociale, en raison du fait qu'il devrait à terme bénéficier de la succession de sa mère à concurrence de plusieurs centaines de milliers de francs. Sa fortune hypothétique ne saurait cependant être prise en compte dans le calcul de la quotité du jour-amende, car l'appelant principal a des dettes substantielles qu'il devra à terme rembourser. Ce qui fait foi est la situation financière concrète du débiteur à ce jour. L'importance de la sanction impose enfin une certaine retenue quant à la quotité du jour-amende. Au vu de ce qui précède, le montant de l'unité du jour-amende sera réduit au minimum fixé par voie jurisprudentielle, soit CHF 10.- par jour (cf. supra ch. 3.4.1). Le jugement sera réformé en conséquence.</w:t>
      </w:r>
    </w:p>
    <w:p>
      <w:r>
        <w:rPr>
          <w:b/>
        </w:rPr>
        <w:t>E. 4</w:t>
      </w:r>
    </w:p>
    <w:p>
      <w:r>
        <w:t>4.1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 Basler Kommentar StPO/JStPO, Bâle 2011, n. 6 ad art. 428). L'al. 2 de cette disposition revêt le caractère d'une norme potestative (Kann-Vorschrift),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Zurich 2010, n. 9 ad art. 428 ; N. SCHMID, Schweizerische Strafprozessordnung : Praxiskommentar, Zurich 2009, n. 8 ad art. 428). La question de savoir si la modification de la décision est de peu d'importance s'apprécie selon les circonstances concrètes du cas d'espèce (arrêt du Tribunal fédéral 1B_575/2011 du 29 février 2012 consid. 2.1. ; M. NIGGLI / M. HEER / H. WIPRÄCHTIGER, op. cit., n. 21 ad art. 428).</w:t>
      </w:r>
    </w:p>
    <w:p>
      <w:r>
        <w:rPr>
          <w:b/>
        </w:rPr>
        <w:t>E. 4.2</w:t>
      </w:r>
    </w:p>
    <w:p>
      <w:r>
        <w:t>La condamnation de l'appelant aux frais de première instance tient équitablement compte de la décision de justice prise à son encontre. Certes, l'appelant a bénéficié d'un acquittement mais la place prise par ce dernier n'est pas telle qu'il doive entraîner une modification de la quote-part de prise en charge des frais. L'appelant oublie à cet égard que sa culpabilité a été retenue en première instance pour des faits de nature pénale autrement plus graves, sans que l'acquittement prononcé ne puisse modifier significativement la répartition des frais. S'agissant des frais de la procédure d'appel, l'appelant succombe entièrement, de sorte que celui-ci supportera les frais de la procédure envers l'Etat (art. 428 CPP), qui comprennent une indemnité de CHF 1'500.-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