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P/7807/2019 vom 3. Juli 2019</w:t>
      </w:r>
    </w:p>
    <w:p>
      <w:r>
        <w:t>GE Cour de justice, 2019-07-03, FR</w:t>
      </w:r>
    </w:p>
    <w:p>
      <w:r>
        <w:rPr>
          <w:b/>
        </w:rPr>
        <w:t xml:space="preserve">Quelle: </w:t>
      </w:r>
      <w:r>
        <w:t>https://mcp.opencaselaw.ch/entscheid/ge_gerichte_P_7807_2019</w:t>
      </w:r>
    </w:p>
    <w:p>
      <w:r>
        <w:t>FR: GE_GERICHTE P/7807/2019 du 3 juillet 2019</w:t>
      </w:r>
    </w:p>
    <w:p>
      <w:r>
        <w:t>IT: GE_GERICHTE P/7807/2019 del 3 luglio 2019</w:t>
      </w:r>
    </w:p>
    <w:p>
      <w:pPr>
        <w:pStyle w:val="Heading2"/>
      </w:pPr>
      <w:r>
        <w:t>Regeste</w:t>
      </w:r>
    </w:p>
    <w:p>
      <w:r>
        <w:t>DEMANDE ADRESSÉE À L'AUTORITÉ; RÉVISION(DÉCISION)</w:t>
      </w:r>
    </w:p>
    <w:p>
      <w:pPr>
        <w:pStyle w:val="Heading2"/>
      </w:pPr>
      <w:r>
        <w:t>Erwägungen</w:t>
      </w:r>
    </w:p>
    <w:p>
      <w:r>
        <w:rPr>
          <w:b/>
        </w:rPr>
        <w:t>E. 1.1</w:t>
      </w:r>
    </w:p>
    <w:p>
      <w:r>
        <w:t>La CPAR est l'autorité compétente en matière de révision (art. 21 al. 1 let. b du code de procédure pénale suisse du 5 octobre 2007 [CPP - RS 312.0] cum art. 130 al. 1 let. a de la loi d'organisation judiciaire [LOJ - E 2 05]). Seules des contraventions faisant l'objet des ordonnances attaquées et la demande de révision ne visant pas une déclaration de culpabilité pour un crime ou un délit, la direction de la procédure statue (art. 129 al. 4 LOJ).</w:t>
      </w:r>
    </w:p>
    <w:p>
      <w:r>
        <w:rPr>
          <w:b/>
        </w:rPr>
        <w:t>E. 1.2</w:t>
      </w:r>
    </w:p>
    <w:p>
      <w:r>
        <w:t>La demande de révision a été déposée dans la forme prescrite et, reposant sur des faits ou moyens de preuves nouveaux au sens de l'art. 410 al. 1 let. a CPP, n'est soumise à aucun délai (art. 411 CPP). Les ordonnances pénales qu'elle vise sont assimilées à des jugements entrés en force dans la mesure où elles n'ont pas été frappées d'opposition dans le délai légal (art. 354 al. 3 CPP). La demande de révision est ainsi recevable.</w:t>
      </w:r>
    </w:p>
    <w:p>
      <w:r>
        <w:rPr>
          <w:b/>
        </w:rPr>
        <w:t>E. 2</w:t>
      </w:r>
    </w:p>
    <w:p>
      <w:r>
        <w:t>2.1. Cette demande est fondée sur les dispositions de l'art. 410 al. 1 let. a CPP qui permet à toute personne lésée par un jugement ou une ordonnance pénale entrés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du code pénal suisse du 21 décembre 1937 (CP - RS 311.0),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 ss).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w:t>
      </w:r>
    </w:p>
    <w:p>
      <w:r>
        <w:rPr>
          <w:b/>
        </w:rPr>
        <w:t>E. 2.2</w:t>
      </w:r>
    </w:p>
    <w:p>
      <w:r>
        <w:t>En l'espèce, la requérante a fourni à l'appui de sa demande en révision des moyens de preuve inconnus du SDC au moment du prononcé des deux ordonnances pénales litigieuses, soit la preuve d'un dépôt de plainte pour usurpation d'immatriculation et le nouveau certificat d'immatriculation de sa voiture. Ce changement d'immatriculation corrobore l'allégation d'usurpation de plaques, aucune autre raison à ce changement ne ressortant du dossier. Il ressort en outre de ses explications que la demanderesse vit et travaille à plus de 200km de Genève. Elle affirme n'avoir jamais circulé en Suisse avec le véhicule concerné, ce que rien dans le dossier ne contredit. Ces éléments suffisent pour considérer qu'elle n'est pas l'auteur des contraventions et qu'il y a eu soit une erreur de la part de l'agent verbalisateur, qui aurait mal retranscrit le numéro d'immatriculation, soit une usurpation de plaques, comme le soutient la demanderesse.</w:t>
      </w:r>
    </w:p>
    <w:p>
      <w:r>
        <w:rPr>
          <w:b/>
        </w:rPr>
        <w:t>E. 3</w:t>
      </w:r>
    </w:p>
    <w:p>
      <w:r>
        <w:t>La requête ayant été admise, il ne sera pas perçu de frais (art. 428 CPP a contrario).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