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P/7803/2025 vom 16. Oktober 2025</w:t>
      </w:r>
    </w:p>
    <w:p>
      <w:r>
        <w:t>GE Cour de justice, 2025-10-16, FR</w:t>
      </w:r>
    </w:p>
    <w:p>
      <w:r>
        <w:rPr>
          <w:b/>
        </w:rPr>
        <w:t xml:space="preserve">Quelle: </w:t>
      </w:r>
      <w:r>
        <w:t>https://mcp.opencaselaw.ch/entscheid/ge_gerichte_P_7803_2025</w:t>
      </w:r>
    </w:p>
    <w:p>
      <w:r>
        <w:t>FR: GE_GERICHTE P/7803/2025 du 16 octobre 2025</w:t>
      </w:r>
    </w:p>
    <w:p>
      <w:r>
        <w:t>IT: GE_GERICHTE P/7803/2025 del 16 ottobre 2025</w:t>
      </w:r>
    </w:p>
    <w:p>
      <w:pPr>
        <w:pStyle w:val="Heading2"/>
      </w:pPr>
      <w:r>
        <w:t>Regeste</w:t>
      </w:r>
    </w:p>
    <w:p>
      <w:r>
        <w:t>PROFIL D'ADN |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2.3</w:t>
      </w:r>
    </w:p>
    <w:p>
      <w:r>
        <w:t>À teneur des points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en cas d'infraction(s) passée(s) lorsque le prévenu a déjà été soupçonné d'avoir commis une infraction susceptible d'être élucidée au moyen de l'ADN, soit notamment une infraction à l'" art. 19 LStup ".</w:t>
      </w:r>
    </w:p>
    <w:p>
      <w:r>
        <w:rPr>
          <w:b/>
        </w:rPr>
        <w:t>E. 2.4</w:t>
      </w:r>
    </w:p>
    <w:p>
      <w:r>
        <w:t>En l'espèce, l'établissement du profil d'ADN du recourant a été ordonné pour élucider, non pas les infractions en cours d'instruction, mais d'autres éventuels actes contraires à la LStup, dès lors qu'il avait déjà été soupçonné pour des faits similaires. À cet égard, il existe des indices sérieux et concrets de la commission, par le recourant, de tels actes punissables. En effet, il a été condamné à trois reprises, entre le 29 octobre 2013 et le 3 décembre 2020, notamment une fois, en 2016, pour un délit à la LStup, soit une infraction qui dépassait le cadre de la simple consommation personnelle. Cette condamnation est certes ancienne. Elle va toutefois de pair avec des reproches répétés de situation irrégulière en Suisse. Pendant la période pénale précitée, l'intéressé a en effet été condamné à trois reprises (29 octobre 2013, 8 février 2016 et 3 décembre 2020) pour des infractions à la législation sur les étrangers, étant souligné que sa dernière condamnation – avant qu’il ne quitte la Suisse durant plusieurs années – portait également sur une infraction contre le patrimoine (recel). À cela s'ajoutent les circonstances de son arrestation, intervenue alors qu’il était expressément mis en cause par une toxicomane pour lui avoir vendu 24 grammes de cocaïne pour la somme de CHF 1'900.- sur une période d’environ une année et lors de laquelle il a avalé une boulette de cocaïne. Il était de plus en possession d'un téléphone portable [à la vérification duquel il s'est opposé] et de CHF 126.-, d'une provenance inconnue, alors qu'il a indiqué devant le Ministère public se trouver dans une situation précaire. Ces éléments, ainsi que sa situation personnelle – absence de domicile connu et de revenu –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éventuelles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 bis CPP, lequel autorise l'établissement d'un profil d'ADN pour les infractions passées. L'arrêt de la Chambre de céans cité par le recourant – qui annule une décision du Ministère public ordonnant l'établissement d'un profil d'ADN – ne lui est d'aucun secours et ne saurait donc être transposé ici. Dans ladite affaire, en particulier, le prévenu n'était soupçonné que d'infraction à la LEI – l'absorption par lui d’un parachute de stupéfiants n’ayant pas été retenue –. Tel n'est pas le cas ici, le recourant étant, comme on l'a vu, également soupçonné d'infraction à l'art. 19 LStup. Partant, la mesure querellée n'apparaît pas inutile ou disproportionnée. Que son coût soit éventuellement mis à la charge du recourant – ce qui n'est pas évident à ce stade, dès lors que cette question ne se posera qu'à l'issue de la procédure et à la condition que l'intéressé soit condamné – n'est donc pas pertinent. En définitive, l'ordonnance querellée ne prête pas le flanc à la critique, les réquisits pour le prononcé de l'établissement du profil d'ADN du recourant étant réunis.</w:t>
      </w:r>
    </w:p>
    <w:p>
      <w:r>
        <w:rPr>
          <w:b/>
        </w:rPr>
        <w:t>E. 3</w:t>
      </w:r>
    </w:p>
    <w:p>
      <w:r>
        <w:t>Justifiée, l'ordonnance attaquée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600.- (art. 428 al. 1 CPP et 13 al. 1 du Règlement fixant le tarif des frais en matière pénale, RTFMP; E 4 10.03).</w:t>
      </w:r>
    </w:p>
    <w:p>
      <w:r>
        <w:rPr>
          <w:b/>
        </w:rPr>
        <w:t>E. 5</w:t>
      </w:r>
    </w:p>
    <w:p>
      <w:r>
        <w:t>Corrélativement, aucun dépens ne lui est dû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