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P/7801/2020 vom 29. März 2021</w:t>
      </w:r>
    </w:p>
    <w:p>
      <w:r>
        <w:t>GE Cour de justice, 2021-03-29, FR</w:t>
      </w:r>
    </w:p>
    <w:p>
      <w:r>
        <w:rPr>
          <w:b/>
        </w:rPr>
        <w:t xml:space="preserve">Quelle: </w:t>
      </w:r>
      <w:r>
        <w:t>https://mcp.opencaselaw.ch/entscheid/ge_gerichte_P_7801_2020</w:t>
      </w:r>
    </w:p>
    <w:p>
      <w:r>
        <w:t>FR: GE_GERICHTE P/7801/2020 du 29 mars 2021</w:t>
      </w:r>
    </w:p>
    <w:p>
      <w:r>
        <w:t>IT: GE_GERICHTE P/7801/2020 del 29 marzo 2021</w:t>
      </w:r>
    </w:p>
    <w:p>
      <w:pPr>
        <w:pStyle w:val="Heading2"/>
      </w:pPr>
      <w:r>
        <w:t>Regeste</w:t>
      </w:r>
    </w:p>
    <w:p>
      <w:r>
        <w:t>videos;pornographique | CP.197.al5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présomption d'innocence, dont le principe in dubio pro reo est le corollaire, est garantie expressément par les art. 6 par. 2 Convention de sauvegarde des droits de l'homme et des libertés fondamentales (CEDH) et 32 al. 1 de la Constitution fédérale,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 arrêt du Tribunal fédéral 6B_958/2010 du 17 août 2011 consid. 4.1). 2.1.2. L'art. 197 al. 5 CP punit quiconque consomme ou, pour sa propre consommation, fabrique, importe, prend en dépôt, acquiert, obtient par voie électronique ou d'une autre manière ou possède des objets ou représentations visés à l'art. 197 al. 1 CP, soit des écrits, enregistrements sonores ou visuels, images ou autres objets pornographiques ou des représentations pornographiques, ou les diffuse à la radio ou à la télévision, ayant comme contenu des actes d'ordre sexuel avec des animaux, des actes de violence entre adultes ou des actes d'ordre sexuel non effectifs avec des mineurs. L'art. 197 al. 5 CP nécessite également l'intention de l'auteur et il appartient au juge de déterminer quelles circonstances permettent de retenir l'intention (Message du 4 juillet 2012 concernant l'approbation de la convention du Conseil de l'Europe sur la protection des enfants contre l'exploitation et les abus sexuels [convention de Lanzarote] et sa mise en oeuvre [modification du code pénal], FF 2012, p. 7097).</w:t>
      </w:r>
    </w:p>
    <w:p>
      <w:r>
        <w:rPr>
          <w:b/>
        </w:rPr>
        <w:t>E. 2.2</w:t>
      </w:r>
    </w:p>
    <w:p>
      <w:r>
        <w:t>En l'espèce, l'appelant ne conteste pas le caractère zoophile des vidéos retrouvées dans son téléphone ni les avoir visionnées en Albanie. Il nie toutefois les avoir conservées pour son propre usage. La Cour relève que l'instruction ne permet pas de retenir qu'il conservait ces enregistrements pour sa propre consommation comme l'a retenu le premier juge, étant rappelé qu'il a effacé la discussion avec l'ami lui ayant envoyé les vidéos litigieuses. Selon l'appelant, les vidéos se sont téléchargées automatiquement sur son téléphone sans qu'il ne le remarque, de sorte que l'élément subjectif de l'art. 197 al. 5 CP fait défaut. Il ne peut pas non plus être condamné pour l'importation de vidéos pornographiques en Suisse, cet aspect ne figurant pas dans l'acte d'accusation du 30 octobre 2020. Par conséquent, l'appelant sera acquitté de l'infraction de pornographie.</w:t>
      </w:r>
    </w:p>
    <w:p>
      <w:r>
        <w:rPr>
          <w:b/>
        </w:rPr>
        <w:t>E. 3</w:t>
      </w:r>
    </w:p>
    <w:p>
      <w:r>
        <w:t>3.1.1. L'art. 115 al. 1 let. a LEI punit d'une peine privative de liberté d'un an au plus ou d'une peine pécuniaire. L'art. 19 al. 1 let. b LStup, quant à lui, punit d'une peine de liberté de trois ans au plus ou d'une peine pécuniaire.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spécifiquement des éléments suivants. Même si la quantité de drogue ne joue pas un rôle prépondérant, elle constitue sans conteste un élément important (ATF 138 IV 100 consid. 3.2 ;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Le juge doit prendre en considération la situation personnelle du délinquant et des antécédents.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3.1.3. L'art. 48 let. d CP prévoit que le juge atténue la peine si l'auteur a manifesté par des actes un repentir sincère, notamment s'il a réparé le dommage autant qu'on pouvait l'attendre de lui.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121 IV 202 consid. 2d/cc p. 206 ; arrêt du Tribunal fédéral 6B_1368/2016 du 15 novembre 2017 consid. 5.1. non publié aux ATF 143 IV 469 ). En revanche, des aveux impliquant le condamné lui-même et sans lesquels d'autres auteurs n'auraient pu être confondus, exprimés spontanément et maintenus malgré des pressions importantes exercées contre l'intéressé et sa famille, peuvent manifester un repentir sincère (arrêt du Tribunal fédéral 6B_265/210 du 3 août 2010 consid. 1.1). 3.1.4.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L'art. 51 CP prévoit que le juge impute sur la peine la détention avant jugement subie par l'auteur dans le cadre de l'affaire qui vient d'être jugée ou d'une autre procédure. Un jour de détention correspond à un jour-amende.</w:t>
      </w:r>
    </w:p>
    <w:p>
      <w:r>
        <w:rPr>
          <w:b/>
        </w:rPr>
        <w:t>E. 3.2</w:t>
      </w:r>
    </w:p>
    <w:p>
      <w:r>
        <w:t>En l'espèce, la faute de l'appelant est importante, ce dernier ayant participé à un trafic de stupéfiants portant sur une quantité relativement importante d'héroïne et présentant un taux de pureté propre à mettre en danger la santé d'un grand nombre de personnes. Il a agi en qualité de simple transporteur et d'après les pièces du dossier, il a effectué un seul passage. Il n'a toutefois pas hésité à traverser la frontière franco-suisse pour livrer de la drogue, et ce malgré l'interdiction de pénétrer sur le territoire helvétique dont il faisait l'objet. Son mobile est égoïste. Il a agi par appât du gain facile et même si sa situation personnelle n'était certainement pas aisée et qu'il souhaitait rentrer en Albanie, cela n'excuse aucunement ses agissements. Sa collaboration a été plutôt bonne, l'appelant ayant notamment d'emblée reconnu les faits. Aucune circonstance atténuante au sens de l'art. 48 CP n'est cependant réalisée. Le repentir sincère plaidé par l'appelant n'atteint pas le degré suffisant requis pour constituer une atténuation de peine au sens de l'art. 48 let. d CP, qui nécessite plus que de simples aveux. L'appelant a été pris en flagrant délit et ne pouvait nier l'évidence. Certes, il a permis la condamnation de D______, malgré des déclarations très inconstantes sur leurs liens, mais il a refusé de donner une quelconque information sur le commanditaire. La simple incrimination d'un tiers n'est pas suffisante, d'autant que ses déclarations ont varié. La prise de conscience de l'appelant est à relativiser, nonobstant les regrets formulés, au vu de ses antécédents pour des faits d'infractions à la LStup et d'entrée illégale. Il y a un concours d'infractions. L'infraction à la LStup, la plus grave, entraîne à elle seule, une peine privative de liberté de l'ordre de 14 mois, à laquelle devrait s'ajouter, en application du principe de l'aggravation, une peine additionnelle de deux mois pour le séjour illégal (peine hypothétique trois mois), soit au total une peine privative de liberté de 16 mois. La Cour estime que seule une peine de prison ferme est de nature à le détourner de commettre de nouvelles infractions et de garantir la sécurité publique, de sorte que l'appelant sera condamné à une peine privative de liberté ferme de 16 mois, sous déduction de 328 jours de détention avant jugement. Au vu de la peine prononcée, il n'y a pas lieu à imputation sur la peine pécuniaire prononcée dans la P/1______/2019.</w:t>
      </w:r>
    </w:p>
    <w:p>
      <w:r>
        <w:rPr>
          <w:b/>
        </w:rPr>
        <w:t>E. 4</w:t>
      </w:r>
    </w:p>
    <w:p>
      <w:r>
        <w:t>L'appelant ne conteste pas l'expulsion prononcée par le premier juge, qui sera confirmée. Il n'y a pas lieu d'étendre la mesure d'expulsion prononcée à l'ensemble de l'espace Schengen, l'expulsion du territoire suisse suffisant à atteindre le but recherché.</w:t>
      </w:r>
    </w:p>
    <w:p>
      <w:r>
        <w:rPr>
          <w:b/>
        </w:rPr>
        <w:t>E. 5</w:t>
      </w:r>
    </w:p>
    <w:p>
      <w:r>
        <w:t>5.1.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Si l'autorité de recours rend elle-même une nouvelle décision, elle se prononce également sur les frais fixés par l'autorité inférieure (art. 428 al. 3 CPP).</w:t>
      </w:r>
    </w:p>
    <w:p>
      <w:r>
        <w:rPr>
          <w:b/>
        </w:rPr>
        <w:t>E. 5.2</w:t>
      </w:r>
    </w:p>
    <w:p>
      <w:r>
        <w:t>Les frais de la procédure de première instance, sur lesquels la CPAR est tenue de statuer à nouveau, seront mis à la charge de l'appelant, dès lors qu'il est reconnu coupable des faits qui lui sont reprochés, à l'exception de l'infraction de pornographie qui n'a nécessité aucun acte d'instruction particulière (art. 428 al. 3 et 426 al. 1 CPP). L'émolument complémentaire de jugement de CHF 600.- sera mis par deux tiers à la charge de l'appelant. En appel, succombant partiellement sur le plan de la peine et n'obtenant gain de cause que la culpabilité, l'appelant sera condamné aux deux tiers des frais de la procédure envers l'Etat, qui comprendront un émolument de décision de CHF 1'500.- (art. 428 CPP et art. 14 al. 1 let. e du règlement fixant le tarif des frais en matière pénale [RTFMP]).</w:t>
      </w:r>
    </w:p>
    <w:p>
      <w:r>
        <w:rPr>
          <w:b/>
        </w:rPr>
        <w:t>E. 6</w:t>
      </w:r>
    </w:p>
    <w:p>
      <w:r>
        <w:t>Considéré globalement, l'état de frais produit par Me C______, défenseure d'office de A______ satisfait les exigences légales et jurisprudentielles régissant l'assistance judiciaire gratuite en matière pénale. Il convient cependant de le compléter de 1 heure et 25 minutes et de deux vacations. La rémunération de Me C______ sera partant arrêtée à CHF 1'521.05 correspondant à 8 heures et 10 minutes d'activité au tarif de CHF 110/heure plus deux vacations, la majoration forfaitaire de 20% ainsi que CHF 360.- en remboursement de débours (frais d'interprète) et l'équivalent de la TVA au taux de 7.7% en CHF 83.-.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