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P/7786/2017 vom 4. Februar 2020</w:t>
      </w:r>
    </w:p>
    <w:p>
      <w:r>
        <w:t>GE Cour de justice, 2020-02-04, FR</w:t>
      </w:r>
    </w:p>
    <w:p>
      <w:r>
        <w:rPr>
          <w:b/>
        </w:rPr>
        <w:t xml:space="preserve">Quelle: </w:t>
      </w:r>
      <w:r>
        <w:t>https://mcp.opencaselaw.ch/entscheid/ge_gerichte_P_7786_2017</w:t>
      </w:r>
    </w:p>
    <w:p>
      <w:r>
        <w:t>FR: GE_GERICHTE P/7786/2017 du 4 février 2020</w:t>
      </w:r>
    </w:p>
    <w:p>
      <w:r>
        <w:t>IT: GE_GERICHTE P/7786/2017 del 4 febbraio 2020</w:t>
      </w:r>
    </w:p>
    <w:p>
      <w:pPr>
        <w:pStyle w:val="Heading2"/>
      </w:pPr>
      <w:r>
        <w:t>Regeste</w:t>
      </w:r>
    </w:p>
    <w:p>
      <w:r>
        <w:t>LÉSÉ;PLAIGNANT;DISPOSITIONS PÉNALES DE LA LCD;ASSOCIATION PROFESSIONNELLE;MÉDECIN;FRAIS DE MÉDECIN;AUTORISATION DE PRATIQUER À LA CHARGE DE L'AM | CPP.382.al1; CPP.118; CPP.115.al2; LCD.23; LCD.3.al1.letb; LCD.10.al2.leta; LAMal.55.leta</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Reste à examiner si un intérêt juridiquement protégé peut être reconnu à la recourante (art. 382 al. 1 CPP). Cette dernière et C______ estiment que cette condition est réalisée, cependant que le Ministère public doute que tel puisse être le cas.</w:t>
      </w:r>
    </w:p>
    <w:p>
      <w:r>
        <w:rPr>
          <w:b/>
        </w:rPr>
        <w:t>E. 1.2.1</w:t>
      </w:r>
    </w:p>
    <w:p>
      <w:r>
        <w:t>Seule une partie qui a un intérêt juridiquement protégé à la modification ou à l'annulation de la décision querellée a qualité pour recourir contre celle-ci (art. 382 al. 1 CPP).</w:t>
      </w:r>
    </w:p>
    <w:p>
      <w:r>
        <w:rPr>
          <w:b/>
        </w:rPr>
        <w:t>E. 1.2.2</w:t>
      </w:r>
    </w:p>
    <w:p>
      <w:r>
        <w:t>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rPr>
          <w:b/>
        </w:rPr>
        <w:t>E. 1.2.3</w:t>
      </w:r>
    </w:p>
    <w:p>
      <w:r>
        <w:t>Dans sa pratique, la Chambre de céans se prononce au cas par cas sur la recevabilité du recours exercé par un prévenu contre l'admission (ou la confirmation) d'une partie plaignante. Ainsi entre-t-elle en matière lorsque des inconvénients juridiques pourraient en résulter pour le prévenu, par exemple lorsqu'il s'agit de protéger des secrets d'affaires ou lorsque le plaignant est un État ( ACPR/190/2020 du 11 mars 2020 ; ACPR/462/2019 du 20 juin 2019 ; ACPR/174/2019 du 6 mars 2019) ou une société d'État dotée de ressources supérieures à celles d'une partie plaignante ordinaire ( ACPR/724/2018 du 4 décembre 2018).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 ACPR/302/2018 du 31 mai 2018, confirmé par l'arrêt du Tribunal fédéral 1B_317/2018 du 12 décembre 2018 ; ACPR/407/2019 du 4 juin 2019, confirmé par l'arrêt du Tribunal fédéral 1B_334/2019 du 6 janvier 2020).</w:t>
      </w:r>
    </w:p>
    <w:p>
      <w:r>
        <w:rPr>
          <w:b/>
        </w:rPr>
        <w:t>E. 1.3</w:t>
      </w:r>
    </w:p>
    <w:p>
      <w:r>
        <w:t>En l'espèce, si l'on peut suivre la recourante lorsqu'elle affirme avoir d'emblée soulevé la question de la qualité de partie plaignante et disposer sous cet angle d'un intérêt actuel à recourir, force est également de constater qu'elle ne démontre pas que l'intimée aurait démontré vouloir jouer un rôle " très actif " dans la procédure, qui s'en trouve précisément à ses débuts. Hormis le dépôt de plainte, son rôle s'est pour l'instant limité à comparaître devant le Ministère public et à se déterminer sur sa qualité de partie plaignante, ce qui ne dénote pas une action particulièrement soutenue. Par ailleurs, le seul fait qu'elle dispose de ressources infiniment supérieures à celles de la recourante ne permet pas de l'assimiler à un État ou à une société étatique et d'appliquer la jurisprudence développée en la matière. Quant aux inconvénients résultant d'une participation à la procédure de F______, président de l'intimée - et non seulement l'un de ses nombreux membres, comme le prétend le Ministère public -, ceux-ci sont soit purement factuels (" charisme ", présence dans les médias, influence), soit insuffisamment étayés (litige en cours sur le droit de pratique de la recourante, rôle de la Commission cantonale quadripartite dans ce cadre, accès à d'éventuels secrets d'affaires concernant la recourante elle-même et non le cabinet au sein duquel elle exerce). Au demeurant, l'art. 102 CPP permettra à la direction de la procédure de prendre les mesures nécessaires pour protéger le cas échéant les intérêts légitimes au secret. Tel n'est cependant pas l'objet de la décision querellée. Il faut toutefois reconnaître à la recourante que la seule infraction pour laquelle la qualité de partie plaignante a été reconnue à l'intimée se poursuit sur plainte (art. 23 LCD), ce qui accentue sensiblement le rôle d'accusateur privé de cette dernière. Peu importe, dans ce cadre, que la procédure porte également sur deux autres infractions poursuivies d'office. En outre, l'intimée est à ce stade la seule partie plaignante à avoir été admise à la procédure. La question de savoir si ces seuls éléments suffisent pour reconnaître à la recourante un intérêt juridiquement protégé peut rester ouverte, vu les considérations qui suivent.</w:t>
      </w:r>
    </w:p>
    <w:p>
      <w:r>
        <w:rPr>
          <w:b/>
        </w:rPr>
        <w:t>E. 2</w:t>
      </w:r>
    </w:p>
    <w:p>
      <w:r>
        <w:t>La recourante fait grief au Ministère public d'avoir reconnu la qualité de partie plaignante de l'intimée.</w:t>
      </w:r>
    </w:p>
    <w:p>
      <w:r>
        <w:rPr>
          <w:b/>
        </w:rPr>
        <w:t>E. 2.1</w:t>
      </w:r>
    </w:p>
    <w:p>
      <w:r>
        <w:t>À teneur de l'art. 118 al. 1 CPP, seul peut se constituer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Est atteint directement dans ses droits le titulaire du bien juridique protégé par la norme, même si ce bien n'est pas unique (ATF 145 IV 491 consid. 2.3 p. 495). L'art. 115 al. 2 CPP ajoute que sont toujours considérées comme des lésées les personnes qui ont qualité pour déposer plainte pénale. Cette disposition étend donc la qualité de lésé à des personnes habilitées à déposer plainte, mais non directement et personnellement touchées par l'infraction, à l'instar des représentants légaux, des héritiers du lésé, ainsi que des autorités et organisations habilitées à porter plainte (arrêt du Tribunal fédéral 6B_868/2019 du 3 octobre 2019 consid. 3.2 et les références).</w:t>
      </w:r>
    </w:p>
    <w:p>
      <w:r>
        <w:rPr>
          <w:b/>
        </w:rPr>
        <w:t>E. 2.2</w:t>
      </w:r>
    </w:p>
    <w:p>
      <w:r>
        <w:t>L'art. 23 al. 1 LCD punit celui qui, intentionnellement, se rend coupable de concurrence déloyale au sens des art. 3, 4, 5 ou 6 de cette même loi. La LCD vise à garantir, dans l'intérêt de toutes les parties concernées, une concurrence loyale et qui ne soit pas faussée (art. 1 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 notamment en influençant la décision des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(arrêt du Tribunal fédéral 6B_1038/2018 du 29 mai 2019 consid. 5.1 et les références citées). En vertu de l'art. 2 LCD, est déloyal et illicite tout comportement ou pratique commerciale qui est trompeur ou qui contrevient de toute autre manière aux règles de la bonne foi et qui influe sur les rapports entre concurrents ou entre fournisseurs et clients. Selon l'art. 3 al. 1 let. b LCD, agit de façon déloyale celui qui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Cette disposition appréhende notamment les comportements consistant à désigner ou présenter des prestations de manière à éveiller l'impression d'une relation économique ou juridique entre deux acteurs, ou encore que l'activité de l'acteur concerné fait l'objet d'une autorisation officielle (V. MARTENET / P. PICHONNAZ (éds), Commentaire romand : Loi contre la concurrence déloyale , Bâle 2017, n. 71 et 74 ad art. 3 al. 1 let. b).</w:t>
      </w:r>
    </w:p>
    <w:p>
      <w:r>
        <w:rPr>
          <w:b/>
        </w:rPr>
        <w:t>E. 2.3</w:t>
      </w:r>
    </w:p>
    <w:p>
      <w:r>
        <w:t>). Ce point - qui a trait non pas à l'art. 115 al. 1 CPP, comme le prétend le Ministère public, mais bien à l'al. 2 de cette disposition, soit la qualité pour porter plainte de l'intimée - est dès lors pertinent pour l'issue du recours. Cela étant, la recourante perd de vue qu'à ce stade de la procédure, il ne s'agit pas de déterminer si les faits décrits dans la plainte sont établis ou si les éléments constitutifs de l'infraction pénale évoquée sont réalisés - ce qui fera précisément l'objet de l'instruction -, mais de déterminer si, à supposer que le comportement dénoncé soit confirmé et qu'il corresponde aux éléments constitutifs d'une infraction pénale, il conférerait à l'intimée la qualité de partie plaignante. Or, il est reproché à la recourante d'avoir prodigué et facturé - au nom d'un collègue - des soins dermatologiques à charge de l'AOS, bien qu'elle ne disposât pas de l'autorisation de pratiquer idoine. On ne peut exclure que, dans ce cadre, elle ait donné à ses patients des indications inexactes sur ses prestations ou ses affaires (au sens de l'art. 3 al. 1 let. b LCD), notamment quant à leur facturation et leur prise en charge par les caisses d'assurance maladie (cf. pour un cas similaire les faits à la base de l' ACPR/570/2018 du 4 octobre 2018). Contrairement à ce que semble prétendre la recourante, de tels agissements, à supposer qu'ils soient réalisés, sont assurément de nature à influer sur le bon fonctionnement du marché, puisqu'ils permettraient à un médecin, pourtant non autorisé à pratiquer à charge de l'AOS, d'acquérir de la clientèle dans ce domaine par un comportement trompeur, au détriment des autres professionnels de la santé. Par ailleurs, bien que l'accès au marché soit strictement limité en matière d'assurance-maladie de base, les médecins restent soumis à une certaine forme de concurrence ; ainsi, la LCD trouve à s'appliquer dans ce secteur également ( supra consid.</w:t>
      </w:r>
    </w:p>
    <w:p>
      <w:r>
        <w:rPr>
          <w:b/>
        </w:rPr>
        <w:t>E. 2.4</w:t>
      </w:r>
    </w:p>
    <w:p>
      <w:r>
        <w:t>). Les éléments soulevés par la recourante dans ses écritures ne permettent pas de conclure à autre chose. Le fait qu'elle soit spécialisée en dermatologie ne change rien au fait qu'elle n'était pas autorisée à prodiguer des soins couverts par l'AOS dans ce domaine. Quant à l'absence de couverture adéquate en soins dermatologiques à Genève, due au déséquilibre entre l'offre et la demande, on peut douter que, sous l'angle du droit de la concurrence, cet élément suffise à retenir que les soins fournis par la recourante n'ont pas causé de préjudice aux autres cabinets de la place, étant d'ailleurs précisé que l'art. 3 al. 1 let. b cum 23 al. 1 LCD réprime une infraction de mise en danger, de sorte qu'une atteinte effective n'est pas exigée (cf. V. MARTENET / P. PICHONNAZ (éds), op. cit. , n. 5 ad art. 23 ; R. M. HILTY / R. ARPAGAUS (éds), Bundesgesetz gegen den unlauteren Wettbewerb (UWG), Basler Kommentar , Bâle 2013, n. 5 ad art. 23). Cette circonstance pourra cas échéant être éclaircie au cours de l'instruction. C'est le lieu de préciser que le Ministère public se devra d'examiner la question du respect du délai de plainte de trois mois (art. 31 CP), notamment quant au moment de la connaissance, par l'intimée, de la personne de la recourante et (de chacune) des infractions à l'art. 23 LCD dénoncées. En l'état toutefois, il suffit de retenir que l'intimée a rendu vraisemblable que ses membres avaient été lésés par les actes de concurrence déloyale reprochés à la recourante, de sorte que la qualité de partie plaignante, fondée sur l'art. 115 al. 2 CPP cum 23 al. 2 et 10 al. 2 let. a LCD, doit lui être reconnue.</w:t>
      </w:r>
    </w:p>
    <w:p>
      <w:r>
        <w:rPr>
          <w:b/>
        </w:rPr>
        <w:t>E. 2.5</w:t>
      </w:r>
    </w:p>
    <w:p>
      <w:r>
        <w:t>En l'espèce, la recourante ne conteste pas la qualité d'association professionnelle au sens de l'art. 10 al. 2 let. a LCD de l'intimée. Il ressort en effet clairement des statuts de cette dernière qu'elle a pour but de défendre les intérêts économiques de ses membres, à savoir les médecins genevois. Est seule litigeuse la question de savoir si ces mêmes médecins sont susceptibles d'avoir été touchés par les agissements reprochés à la recourante. Selon la jurisprudence, la qualité pour agir des associations est subordonnée à la condition que leurs membres aient eux-mêmes qualité pour intenter action ( supra consid.</w:t>
      </w:r>
    </w:p>
    <w:p>
      <w:r>
        <w:rPr>
          <w:b/>
        </w:rPr>
        <w:t>E. 3</w:t>
      </w:r>
    </w:p>
    <w:p>
      <w:r>
        <w:t>Justifiée, la décision querellée sera donc confirmée.</w:t>
      </w:r>
    </w:p>
    <w:p>
      <w:r>
        <w:rPr>
          <w:b/>
        </w:rPr>
        <w:t>E. 4</w:t>
      </w:r>
    </w:p>
    <w:p>
      <w:r>
        <w:t>La recourante, qui succombe, supportera les frais envers l'État, fixés en totalité à CHF 1'000.- (art. 428 al. 1 CPP et 13 al. 1 du Règlement fixant le tarif des frais en matière pénale, RTFMP ; RSG E 4 10.03).</w:t>
      </w:r>
    </w:p>
    <w:p>
      <w:r>
        <w:rPr>
          <w:b/>
        </w:rPr>
        <w:t>E. 5</w:t>
      </w:r>
    </w:p>
    <w:p>
      <w:r>
        <w:t>Il ne sera pas alloué d'indemnité à l'intimée, partie plaignante, dans la mesure où elle n'a ni chiffré, ni a fortiori justifié une telle prétention, contrairement aux exigences de l'art. 433 al. 2 CPP, applicable à la procédure de recours par renvoi de l'art.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