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P/7784/2022 vom 21. Mai 2024</w:t>
      </w:r>
    </w:p>
    <w:p>
      <w:r>
        <w:t>GE Cour de justice, 2024-05-21, FR</w:t>
      </w:r>
    </w:p>
    <w:p>
      <w:r>
        <w:rPr>
          <w:b/>
        </w:rPr>
        <w:t xml:space="preserve">Quelle: </w:t>
      </w:r>
      <w:r>
        <w:t>https://mcp.opencaselaw.ch/entscheid/ge_gerichte_P_7784_2022</w:t>
      </w:r>
    </w:p>
    <w:p>
      <w:r>
        <w:t>FR: GE_GERICHTE P/7784/2022 du 21 mai 2024</w:t>
      </w:r>
    </w:p>
    <w:p>
      <w:r>
        <w:t>IT: GE_GERICHTE P/7784/2022 del 21 maggio 2024</w:t>
      </w:r>
    </w:p>
    <w:p>
      <w:pPr>
        <w:pStyle w:val="Heading2"/>
      </w:pPr>
      <w:r>
        <w:t>Regeste</w:t>
      </w:r>
    </w:p>
    <w:p>
      <w:r>
        <w:t>FAUX DANS LES CERTIFICATS;CONDUITE SANS AUTORISATION;IN DUBIO PRO REO;ACQUITTEMENT | CP.252; CP.255; LCR.95</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A l'instar des autres moyens de preuve, le juge apprécie librement la force probante d'une expertise ; il n'est pas lié par les conclusions de l'expert (ATF 141 IV 369 consid. 6.1). Toutefois, il ne peut s'en écarter que lorsque des circonstances ou des indices importants et bien établis en ébranlent sérieusement la crédibilité. Il est alors tenu de motiver sa décision de ne pas suivre le rapport d'expertise (ATF 142 IV 49 consid. 2.1.3 ; 138 III 193 consid. 4.3.1 ; arrêt du Tribunal fédéral 6B_156/2019 du 27 juin 2019 consid. 2.5.1 non publié in ATF 145 IV 281). 2.2.1. L'art. 252 CP réprime d'une peine privative de liberté de trois ans au plus ou d'une peine pécuniaire quiconque,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destiné à lui. 2.2.2. L'infraction est intentionnelle. L'auteur doit agir dans le dessein d'améliorer sa situation ou celle d'autrui. Ce dessein est réalisé notamment lorsque l'auteur veut se faciliter la vie (ATF 111 IV 24 consid. 1b). Interprété de façon très large, il vise pratiquement toutes les situations, à moins que l'auteur n'ait agi sans but raisonnable ou pour nuire à autrui (arrêts du Tribunal fédéral 6B_1169/2017 du 15 juin 2018 consid. 1.4.1 ; 6B_619/2012 du 18 décembre 2012 consid. 1.2.1). 2.2.3. L'art. 252 CP s'applique aussi aux titres étrangers en vertu de l'art. 255 CP. 2.3.1. L'art. 95 al. 1 let. a LCR punit d'une peine privative de liberté de trois ans au plus ou d'une peine pécuniaire quiconque conduit un véhicule automobile sans être titulaire du permis de conduire requis. 2.3.2. Tant l'intention que la négligence sont punissables (art. 100 ch. 1 al. 1 LCR). Concernant en particulier l'art. 95 al. 1 LCR, l'intention découle de la connaissance par l'auteur de l'inexistence d'un permis valable et, ce nonobstant, de la volonté de conduire sur la voie publique. S'agissant de la négligence, elle se confond avec l'examen de l'erreur de fait (Y. JEANNERET, Les dispositions pénales de la LCR, Berne 2007, n. 44 et 46 ad art. 95). L'art. 13 CP prévoit que quiconque agit comme la loi l'ordonne ou l'autorise se comporte de manière licite, même si l'acte est punissable en vertu du présent code ou d'une autre loi (al. 1). Quiconque pouvait évite l'erreur en usant des précautions voulues est punissable pour négligence si la loi réprime son acte comme infraction par négligence (al. 2).</w:t>
      </w:r>
    </w:p>
    <w:p>
      <w:r>
        <w:rPr>
          <w:b/>
        </w:rPr>
        <w:t>E. 2.4</w:t>
      </w:r>
    </w:p>
    <w:p>
      <w:r>
        <w:t>En l'espèce, il est établi que le permis de conduire litigieux est un faux, dans la mesure où il comporte une faute d'orthographe dans le nom de famille du Président de la CONADEP, mais surtout où, comme relevé dans le rapport de l'OFDF dont il n'y a pas lieu de s'écarter, la technique d'impression de fond dudit permis ne correspond pas aux standards des autorités locales. Les certificats d'authenticité produits émis par la Direction des Transports Terrestres les 13 juin 2022 et 12 mai 2023, bien que certifiés par l'acte de conformité du 19 mars 2024, ne permettent pas de parvenir à une autre conclusion, dès lors que plusieurs indices de contrefaçon sur le premier document ont été relevés par le même office et que l'authenticité du second semble également plus que douteuse, au vu de la faute d'orthographe constatée et de la mauvaise qualité du sceau adhésif. Il en va de même des deux notes techniques établies par M e D______, lesquelles se limitent à attester de l'authenticité du permis de conduire litigieux, sans se référer au moindre document ou échange avec les autorités congolaises, hormis au second certificat d'authenticité précité. Un doute subsiste néanmoins sur l'intention de l'appelant de faire usage de ce faux document. En effet, aucun élément ne permet de retenir qu'il a joué un rôle direct ou indirect dans les irrégularités constatées par les gardes-frontières. Qu'elles soient le fait de tiers mal intentionnés ou liées à un problème d'infrastructure, elles ne lui sont pas imputables et, d'ordre technique, ces irrégularités ne changent rien quant au fait qu'il ne lui est pas reproché par l'acte d'accusation de ne pas être titulaire d'un permis de conduire dans son pays d'origine. En outre, rien ne permet de conclure que l'appelant a eu l'intention de tromper autrui ni qu'il a agi en violation de la loi dans le dessein d'améliorer sa situation ou celle d'autrui. Ses déclarations constantes et plausibles, d'autant plus compte tenu de sa position de fonctionnaire international, au sujet de la façon dont il avait obtenu, avec l'aide du bureau de C______ à E______, le renouvellement du permis de conduire incriminé et sa démarche consistant à se procurer deux certificats d'authenticité, un acte de conformité, ainsi que deux avis d'un avocat congolais démontrent plutôt le contraire et viennent au soutien du bien-fondé de ses déclarations. Partant, l'appel sera admis et A______ acquitté de faux dans les certificats étrangers au sens de l'art. 252 cum 255 CP.</w:t>
      </w:r>
    </w:p>
    <w:p>
      <w:r>
        <w:rPr>
          <w:b/>
        </w:rPr>
        <w:t>E. 2.5</w:t>
      </w:r>
    </w:p>
    <w:p>
      <w:r>
        <w:t>Compte tenu du raisonnement qui précède, le prévenu ne pouvait pas, même en usant de précautions, se rendre compte que le permis litigieux était un faux, les éléments de contrefaçon n'étant pas flagrants (technique d'impression et erreur d'orthographe), de sorte qu'il sera également acquitté, au bénéfice d'une erreur de fait inévitable (art. 13 al. 1 CP), de conduite sans permis de conduire (art. 95 al. 1 let. a LCR).</w:t>
      </w:r>
    </w:p>
    <w:p>
      <w:r>
        <w:rPr>
          <w:b/>
        </w:rPr>
        <w:t>E. 3.1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soit mis hors d'usage ou détruits.</w:t>
      </w:r>
    </w:p>
    <w:p>
      <w:r>
        <w:rPr>
          <w:b/>
        </w:rPr>
        <w:t>E. 3.2</w:t>
      </w:r>
    </w:p>
    <w:p>
      <w:r>
        <w:t>En l'espèce, bien qu'aucune infraction de faux dans les certificats étrangers n'ait été retenue à l'encontre de l'appelant, il n'en demeure pas moins que le permis de conduire congolais n° 1______ présente plusieurs irrégularités, ayant conduit les gardes-frontières à le déclarer contrefait. Ainsi, ledit permis de conduire figurant sous chiffre 1 de l'inventaire n° 2______ sera confisqué et détruit.</w:t>
      </w:r>
    </w:p>
    <w:p>
      <w:r>
        <w:rPr>
          <w:b/>
        </w:rPr>
        <w:t>E. 4</w:t>
      </w:r>
    </w:p>
    <w:p>
      <w:r>
        <w:t>L'appel ayant été admis, il ne sera pas perçu de frais pour la procédure d'appel (art. 428 CPP a contrario). Pour ce qui est des frais de la procédure préliminaire et de première instance, au sujet desquels il doit être statué à nouveau (art. 428 al. 3 CPP), la condamnation de l'appelant à les supporter sera annulée. La confiscation du permis de conduire étant confirmée, le retrait du véhicule se justifiait sur le plan administratif, de sorte que les frais de garage en découlant ne sauraient lui être restitués dans le cadre de la présente procédure.</w:t>
      </w:r>
    </w:p>
    <w:p>
      <w:r>
        <w:rPr>
          <w:b/>
        </w:rPr>
        <w:t>E. 5</w:t>
      </w:r>
    </w:p>
    <w:p>
      <w:r>
        <w:t>5.1.1. Aux termes de l'art. 429 al. 1 CPP, si le prévenu est acquitté totalement ou en partie, il a droit à une indemnité pour les dépenses occasionnées par l’exercice raisonnable de ses droits de procédure (let. a) ; une réparation du tort moral subi en raison d’une atteinte particulièrement grave à sa personnalité, notamment en cas de privation de liberté (let. c). La question de l'indemnisation du prévenu doit être traitée en relation avec celle des frais (ATF 137 IV 352 consid. 2.4.2 ; arrêts du Tribunal fédéral 6B_385/2017 du 5 décembre 2017 consid. 2.1 ; 6B_620/2016 du 17 mai 2017 consid. 2.2.2 ; 6B_792/2016 du 18 avril 2017 consid. 3.3). À teneur de l'art. 436 al. 1 CPP, les prétentions en indemnités et en réparation du tort moral dans la procédure de recours (" Rechtsmittelverfahren ", i.e. appel et recours) sont régies par les art. 429 à 434 CPP. 5.1.2. L'indemnité visée par l'art. 429 al. 1 let. a CPP couvre en particulier les honoraires d'avocat. Ceux-ci doivent être proportionnés (N. SCHMID, Schweizerische Strafprozessordnung : Praxiskommentar,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Le prévenu acquitté peut faire valoir tous les autres frais liés à la défense de ses intérêts, en particulier les débours (photocopies et frais de port), les frais de traduction ou d’expertise privée, pour autant qu’ils se révèlent nécessaires (A. KUHN / Y. JEANNERET (éd.), Commentaire romand : Code de procédure pénale suisse, 2 ème éd., Bâle 2019, n. 36 à 39 ad art. 429). En application de l'art. 453 al. 1 CPP, les recours formés contre les décisions rendues avant l'entrée en vigueur du présent code sont régis par l'ancien droit de procédure, de sorte que l'art. 429 al. 3 CPP en vigueur depuis le 1 er janvier 2024 n'est pas applicable à la présente cause. 5.1.3. Pour justifier un droit à l'indemnité visée par l'art. 429 al. 1 let. c CPP, l'intensité de l'atteinte à la personnalité doit être analogue à celle requise dans le contexte de l'art. 49 de la loi fédérale complétant le code civil suisse (CO, code des obligations).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5.2.1. Il sera fait droit à la demande d'indemnisation de l'appelant pour la procédure préliminaire et de première instance, ainsi que pour celle d'appel, au vu de l'acquittement prononcé. 5.2.1.1. Prise globalement, la note de frais et honoraires pour la procédure préliminaire et de première instance paraît raisonnable au regard de la spécificité de l'affaire. Il en va de même du tarif horaire sollicité. Ainsi, seront indemnisées 15h15 au tarif requis de CHF 300.-/heure (CHF 4'575.-), plus CHF 150.- de frais, ce qui représente un total de CHF 4'725.-. Les honoraires de M e D______ en CHF 1'991.- pour l'expertise privée du 25 mai 2023 ne seront en revanche pas indemnisés, ses conclusions non pertinentes, n'ayant aucunement déterminé la mise hors de cause de l'appelant. 5.2.1.2. La note d'honoraires pour la procédure d'appel paraît également adéquate. Ainsi, l'indemnité sera arrêtée à CHF 2'700.-, correspondant à 9h00 d'activité au tarif de CHF 300.-/heure. 5.2.2. En l'espèce, l'appelant, qui a fait l'objet d'une arrestation provisoire le 15 mars 2022 de 13h30 à 15h45, n'a subi aucune détention illégale ou excessive et n'a fait l'objet d'aucune mesure de contrainte dans le cadre de la présente procédure qui justifieraient une indemnisation au titre de réparation de son tort moral (ATF 143 IV 339 consid. 3.2). Les divers moyens de preuves, à savoir ses convocations et les rapports d'expertise de l'OFDF, ont été administrés de manière adéquate et sans porter atteinte à sa personnalité, étant précisé que les désagréments dont il se prévaut sont inhérents à toute instruction pénale et insuffisants à justifier l'allocation d'une indemnité pour tort moral sur la base de l'art. 429 CPP, d'autant plus que la durée de la procédure d'instruction ne saurait être considérée comme excessive. L'appelant sera par conséquent débouté de ses conclusions en indemnisation du tort moral.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