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P/7772/2020 vom 28. Juni 2021</w:t>
      </w:r>
    </w:p>
    <w:p>
      <w:r>
        <w:t>GE Cour de justice, 2021-06-28, FR</w:t>
      </w:r>
    </w:p>
    <w:p>
      <w:r>
        <w:rPr>
          <w:b/>
        </w:rPr>
        <w:t xml:space="preserve">Quelle: </w:t>
      </w:r>
      <w:r>
        <w:t>https://mcp.opencaselaw.ch/entscheid/ge_gerichte_P_7772_2020</w:t>
      </w:r>
    </w:p>
    <w:p>
      <w:r>
        <w:t>FR: GE_GERICHTE P/7772/2020 du 28 juin 2021</w:t>
      </w:r>
    </w:p>
    <w:p>
      <w:r>
        <w:t>IT: GE_GERICHTE P/7772/2020 del 28 giugno 2021</w:t>
      </w:r>
    </w:p>
    <w:p>
      <w:pPr>
        <w:pStyle w:val="Heading2"/>
      </w:pPr>
      <w:r>
        <w:t>Regeste</w:t>
      </w:r>
    </w:p>
    <w:p>
      <w:r>
        <w:t>ORDONNANCE DE NON-ENTRÉE EN MATIÈRE;VOL(DROIT PÉNAL);ABUS DE CONFIANCE;QUALITÉ POUR AGIR ET RECOURIR | CPP.310; CP.319; CP.158; CPP.385; CPP.115; CPP.118</w:t>
      </w:r>
    </w:p>
    <w:p>
      <w:pPr>
        <w:pStyle w:val="Heading2"/>
      </w:pPr>
      <w:r>
        <w:t>Erwägungen</w:t>
      </w:r>
    </w:p>
    <w:p>
      <w:r>
        <w:rPr>
          <w:b/>
        </w:rPr>
        <w:t>E. 1</w:t>
      </w:r>
    </w:p>
    <w:p>
      <w:r>
        <w:t>La Chambre pénale de recours peut décider d'emblée de traiter sans échange d'écritures ni débats les recours manifestement mal fondés ou irrecevables (art. 390 al. 2 et 5 a contrario CPP). Tel est le cas en l'occurrence, au vu des considérations qui suivent.</w:t>
      </w:r>
    </w:p>
    <w:p>
      <w:r>
        <w:rPr>
          <w:b/>
        </w:rPr>
        <w:t>E. 1.1</w:t>
      </w:r>
    </w:p>
    <w:p>
      <w:r>
        <w:t>Le recours a été déposé selon la forme et – faute de notification conforme à l'art. 85 al. 2 CPP – dans le délai prescrits (art. 385 al. 1 et 396 al. 1 CPP). Il concerne une ordonnance sujette à recours auprès de la Chambre de céans (art. 393 al. 1 let. a CPP).</w:t>
      </w:r>
    </w:p>
    <w:p>
      <w:r>
        <w:rPr>
          <w:b/>
        </w:rPr>
        <w:t>E. 1.2</w:t>
      </w:r>
    </w:p>
    <w:p>
      <w:r>
        <w:t>Seule une partie qui a un intérêt juridiquement protégé à la modification ou à l'annulation de la décision querellée a qualité pour recourir contre celle-ci (art. 382 al. 1 CPP). La partie plaignante a qualité de partie à la procédure (art. 104 al. 1 let. b CPP).On entend par partie plaignante le lésé qui déclare expressément vouloir participer à la procédure pénale comme demandeur au pénal ou au civil (art. 118 al. 1 CPP). L'art. 115 al. 1 CPP définit le lésé comme étant toute personne dont les droits ont été touchés directement par une infraction. En règle générale, seul peut se prévaloir d'une atteinte directe le titulaire du bien juridique protégé par la disposition pénale qui a été enfreinte. Lorsque la norme protège un bien juridique individuel, la qualité de lésé appartient au titulaire de ce bien. Lorsque l'infraction protège en première ligne l'intérêt collectif, les particuliers ne sont considérés comme lésés que s'ils sont atteints dans leurs droits par l'infraction décrite et que cette atteinte est la conséquence directe du comportement répréhensible (ATF 146 IV 76 consid. 2.2.1 p. 80 ; 145 IV 491 consid. 2.3 et 2.3.1 p. 495 ; arrêts du Tribunal fédéral 1B_446/2020 du 27 avril 2021 consid. 3.1 destiné à la publication ; 6B_752/2020 du 8 juin 2021 consid. 2.2 et les références citées). Pour être directement touché, le lésé doit en outre subir une atteinte en rapport de causalité directe avec l'infraction poursuivie. Les personnes subissant un préjudice indirect ou par ricochet ne sont donc pas lésées et sont des tiers n'ayant pas accès au statut de partie à la procédure pénale (ATF 141 IV 454 consid. 2.3.1). La déclaration de partie plaignante doit avoir lieu avant la clôture de la procédure préliminaire (art. 118 al. 3 CPP), soit à un moment où l'instruction n'est pas encore achevée. Dès lors, tant que les faits déterminants ne sont pas définitivement arrêtés sur ce point, il y a lieu de se fonder sur les allégués de celui qui se prétend lésé ainsi que sur les éléments de preuve déjà disponibles pour déterminer si tel est effectivement le cas (arrêt du Tribunal fédéral 1B_104/2013 du 13 mai 2013 consid. 2.2). Celui qui entend se constituer partie plaignante doit toutefois rendre vraisemblable le préjudice et le lien de causalité entre celui-ci et l'infraction dénoncée (ATF 141 IV 1 consid. 3.1 p. 5 s.).</w:t>
      </w:r>
    </w:p>
    <w:p>
      <w:r>
        <w:rPr>
          <w:b/>
        </w:rPr>
        <w:t>E. 1.3</w:t>
      </w:r>
    </w:p>
    <w:p>
      <w:r>
        <w:t>En l'espèce, aucune ligne des écritures de recours n'est consacrée à démontrer la qualité de lésé des recourantes en lien avec les infractions dénoncées.</w:t>
      </w:r>
    </w:p>
    <w:p>
      <w:r>
        <w:rPr>
          <w:b/>
        </w:rPr>
        <w:t>E. 1.3.1</w:t>
      </w:r>
    </w:p>
    <w:p>
      <w:r>
        <w:t>Celles-ci, à savoir le vol (art. 139 CP) et la gestion déloyale (art. 158 CP), figurent au titre deuxième du code pénal consacré aux infractions contre le patrimoine.</w:t>
      </w:r>
    </w:p>
    <w:p>
      <w:r>
        <w:rPr>
          <w:b/>
        </w:rPr>
        <w:t>E. 1.3.2</w:t>
      </w:r>
    </w:p>
    <w:p>
      <w:r>
        <w:t>En sa qualité de propriétaire du patrimoine lésé, A______ a qualité pour agir pour se plaindre d’une non-entrée en matière sur ce point (Message du 21 décembre 2005 relatif à l'unification du droit de la procédure pénale, FF 2006 1148 ch. 2.3.3.1).</w:t>
      </w:r>
    </w:p>
    <w:p>
      <w:r>
        <w:rPr>
          <w:b/>
        </w:rPr>
        <w:t>E. 1.3.3</w:t>
      </w:r>
    </w:p>
    <w:p>
      <w:r>
        <w:t>En revanche, en reprochant aux mis en cause des infractions en lien avec la gestion des biens appartenant à sa mère, C______ ne rend pas vraisemblable en être elle-même propriétaire, étant précisé que le fait que les meubles appartiennent à un côté de la famille – en l'occurrence C______ – n'y change rien. Faute d'être titulaire du bien juridique protégé par les infractions dénoncées, C______ ne peut revêtir la qualité de lésée, de sorte que son recours sera déclaré irrecevable.</w:t>
      </w:r>
    </w:p>
    <w:p>
      <w:r>
        <w:rPr>
          <w:b/>
        </w:rPr>
        <w:t>E. 3</w:t>
      </w:r>
    </w:p>
    <w:p>
      <w:r>
        <w:t>2. L'art. 139 ch. 1 CP réprime le comportement de celui qui, pour se procurer ou procurer à un tiers un enrichissement illégitime, aura soustrait une chose mobilière appartenant à autrui dans le but de se l'approprier. L'auteur doit agir dans le dessein de se procurer ou de procurer à un tiers un enrichissement illégitime. Le dessein d'enrichissement peut résulter du seul fait de vouloir tirer un profit de la chose (B. CORBOZ, Les infractions en droit suisse , n. 11 ad art. 139). Un tel dessein fait défaut lorsque l'auteur fournit immédiatement la contre-valeur de la chose qu'il s'approprie (ATF 114 IV 133 consid. 2). Le dol éventuel suffit (ATF 133 IV 21 consid. 6.1.2 p. 27 ; ATF 118 IV 27 consid. 3a p. 29 s., 32 consid. 2a p. 34 ; ATF 105 IV 29 consid. 3a p. 34). 3.3.1. Selon l'art. 158 ch. 1 CP, se rend coupable de gestion déloyale celui qui, en vertu de la loi, d'un mandat officiel ou d'un acte juridique, est tenu de gérer les intérêts pécuniaires d'autrui et de veiller sur leur gestion et qui, en violation de ses devoirs, aura porté atteinte à ces intérêts ou aura permis qu'ils soient lésés. 3.3.2. Cette disposition suppose la réalisation de quatre conditions : il faut que l'auteur ait eu une position de gérant, qu'il ait violé une obligation lui incombant en cette qualité, qu'il en soit résulté un préjudice et qu'il ait agi intentionnellement (ATF 120 IV 190 consid. 2b p. 192 ; arrêts du Tribunal fédéral 6B_136/2017 du 17 novembre 2017 consid. 4.1 ; 6B_949/2014 du 6 mars 2017 consid. 12.1). 3.3.3. Pour qu'il y ait gestion déloyale, il ne suffit pas que l'auteur ait été gérant – tel est le cas pour le curateur (art. 400 ss CC) (M. DUPUIS / L. MOREILLON / C. PIGUET / S. BERGER / M. MAZOU / V. RODIGARI (éds), Petit commentaire du Code pénal , 2 e éd., Bâle 2017, n. 10 ad art. 158) –, ni qu'il ait violé une quelconque obligation de nature pécuniaire à l'endroit de la personne dont il gère tout ou partie du patrimoine. Le terme de gestion déloyale et la définition légale de l'infraction exigent que l'obligation qu'il a violée soit liée à la gestion confiée. Le comportement délictueux consiste à violer le devoir de gestion ou de sauvegarde (ATF 123 IV 17 consid. 3c p. 22; ATF 120 IV 190 consid. 2b spéc. p. 193; ATF 105 IV 307 consid. 3 p. 312 s.). Le gérant sera ainsi punissable s'il transgresse – par action ou par omission – les obligations spécifiques qui lui incombent en vertu de son devoir de gérer et de protéger les intérêts pécuniaires d'une tierce personne. Il convient donc d'examiner de manière concrète si les actes de gestion reprochés violaient un devoir de gestion spécifique. Pour dire s'il y a violation, il faut déterminer concrètement le contenu du devoir imposé au gérant. Cette question s'examine au regard des rapports juridiques qui lient le gérant aux titulaires des intérêts pécuniaires qu'il administre, compte tenu notamment des dispositions légales applicables (arrêts du Tribunal fédéral 6B_787/2016 du 2 mai 2017 consid. 2.3.1 et les références; 6B_412/2016 du 10 février 2017 consid. 2.3 et les références; 6B_845/2014 du 16 mars 2015 consid. 3.2; 6B_967/2013 du 21 février 2014 consid. 3.2).</w:t>
      </w:r>
    </w:p>
    <w:p>
      <w:r>
        <w:rPr>
          <w:b/>
        </w:rPr>
        <w:t>E. 3.1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ministère public doit être certain que les faits ne sont pas punissables (ATF 137 IV 285 consid. 2.3 p. 287 et les références citées). Le principe " in dubio pro duriore " découle du principe de la légalité (art. 5 al. 1 Cst. et 2 al. 2 CPP en relation avec les art. 19 al. 1 et 324 CPP ; ATF 138 IV 86 consid. 4.2 p. 91 ;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 ATF 138 IV 86 consid. 4.1.2 p. 91 ; arrêts du Tribunal fédéral 6B_417/2017 du 10 janvier 2018 consid. 2.1.2; 6B_185/2016 du 30 novembre 2016 consid. 2.1.2 et les références). En d'autres termes, il doit être certain que l'état de fait ne remplit les conditions d'aucune infraction pénale, ce qui est, par exemple, le cas des contestations de nature purement civile (ATF 137 IV 285 consid. 2.3 p. 287).</w:t>
      </w:r>
    </w:p>
    <w:p>
      <w:r>
        <w:rPr>
          <w:b/>
        </w:rPr>
        <w:t>E. 3.4</w:t>
      </w:r>
    </w:p>
    <w:p>
      <w:r>
        <w:t>En l'espèce, la recourante se plaint de ne pas avoir été informée par les mis en cause de la résiliation de son bail à loyer et de la liquidation subséquente de son appartement, pensant que les biens s'y trouvant seraient stockés dans un garde-meuble. Elle leur reproche également d'avoir vendu ses meubles. Le SPAd, par l'intermédiaire de sa cheffe de secteur, a admis avoir résilié le contrat de bail à loyer relatif à l'appartement de la précitée et liquidé les biens s'y trouvant, à l'exception de ceux choisi par elle pour intégrer la chambre qu'elle occupe au sein de l'EMS B______. Les biens, dont l'état le permettait, ont été mis en vente et le reste jeté. Ces décisions, conformes à la procédure en vigueur, avaient pour but de réduire les dépenses de la recourante, durablement placée en EMS, compte tenu de sa situation financière. La recourante ne démontre pas disposer des finances lui permettant de s'acquitter de son ancien loyer et/ou de la location d'un garde-meuble, en sus de ses charges actuelles. Au contraire, il ressort du dossier qu'elle se trouve au bénéfice de l'aide sociale. En outre, ainsi que cela ressort du contrat de vente produit par le SPAd, des meubles appartenant à la recourante ont été vendus pour CHF 200.-, somme devant être versée en sa faveur. À cet égard, l'intéressée ne prétend pas que cette somme ne lui aurait pas été versée, que d'autres meubles auraient pu faire l'objet de cette vente ou que la valeur perçue serait inférieure à la valeur effective du mobilier vendu. Que les meubles aient ensuite fait l'objet d'une offre de vente sur internet n'y change rien, ce d'autant plus qu'il n'est pas établi qu'il s'agisse des meubles de la recourante et que les offres aient été publiées par les mis en cause. Il apparait dès lors que les mis en cause, dans le cadre de la curatelle de gestion qui leur était confiée, ont agi en administrateurs diligents, à qui incombe la conservation du patrimoine de la recourante – voire son accroissement –. Une violation du devoir de gestion fait donc défaut. En outre, les précités n'ont pas agi dans le but de tirer un profit personnel de la vente des biens appartenant à la recourante, mais pour réduire ses dépenses, compte tenu de sa situation financière. Le dessein d'enrichissement légitime fait donc défaut. Au vu de ce qui précède, la question de l'obtention de l'aval du TPAE par le SPAd est pénalement irrelevante. Enfin, ce qui précède rend inutile une confrontation entre les protagonistes. C'est donc à juste titre que le Ministère public a estimé que les éléments constitutifs des infractions dénoncées n'étaient pas réalisés.</w:t>
      </w:r>
    </w:p>
    <w:p>
      <w:r>
        <w:rPr>
          <w:b/>
        </w:rPr>
        <w:t>E. 4</w:t>
      </w:r>
    </w:p>
    <w:p>
      <w:r>
        <w:t>Justifiée, l'ordonnance querellée sera donc confirmée.</w:t>
      </w:r>
    </w:p>
    <w:p>
      <w:r>
        <w:rPr>
          <w:b/>
        </w:rPr>
        <w:t>E. 5</w:t>
      </w:r>
    </w:p>
    <w:p>
      <w:r>
        <w:t>La recourante sollicite d'être mise au bénéfice de l'assistance judiciaire.</w:t>
      </w:r>
    </w:p>
    <w:p>
      <w:r>
        <w:rPr>
          <w:b/>
        </w:rPr>
        <w:t>E. 5.1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comprend, notamment, l'exonération des frais de procédure (art. 136 al. 2 let. b CPP). La cause du plaignant ne doit pas être dénuée de toute chance de succès. L'assistance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 et les références citées).</w:t>
      </w:r>
    </w:p>
    <w:p>
      <w:r>
        <w:rPr>
          <w:b/>
        </w:rPr>
        <w:t>E. 5.2</w:t>
      </w:r>
    </w:p>
    <w:p>
      <w:r>
        <w:t>En l'espèce, quand bien même la recourante est indigente, il a été jugé supra que ses griefs étaient juridiquement infondés. En l'absence de chance de succès de l'action civile, la requête d'assistance judiciaire ne peut donc qu'être rejetée.</w:t>
      </w:r>
    </w:p>
    <w:p>
      <w:r>
        <w:rPr>
          <w:b/>
        </w:rPr>
        <w:t>E. 6</w:t>
      </w:r>
    </w:p>
    <w:p>
      <w:r>
        <w:t>Les recourantes, qui succombent, supporteront, conjointement et solidairement (art. 418 al. 2 CPP), les frais envers l'État, fixés en totalité à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