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P/7753/2012 vom 10. Oktober 2013</w:t>
      </w:r>
    </w:p>
    <w:p>
      <w:r>
        <w:t>GE Cour de justice, 2013-10-10, FR</w:t>
      </w:r>
    </w:p>
    <w:p>
      <w:r>
        <w:rPr>
          <w:b/>
        </w:rPr>
        <w:t xml:space="preserve">Quelle: </w:t>
      </w:r>
      <w:r>
        <w:t>https://mcp.opencaselaw.ch/entscheid/ge_gerichte_P_7753_2012</w:t>
      </w:r>
    </w:p>
    <w:p>
      <w:r>
        <w:t>FR: GE_GERICHTE P/7753/2012 du 10 octobre 2013</w:t>
      </w:r>
    </w:p>
    <w:p>
      <w:r>
        <w:t>IT: GE_GERICHTE P/7753/2012 del 10 ottobre 2013</w:t>
      </w:r>
    </w:p>
    <w:p>
      <w:pPr>
        <w:pStyle w:val="Heading2"/>
      </w:pPr>
      <w:r>
        <w:t>Regeste</w:t>
      </w:r>
    </w:p>
    <w:p>
      <w:r>
        <w:t>INFRACTIONS CONTRE LE PATRIMOINE; BRIGANDAGE; TRAITEMENT AMBULATOIRE | CP.140; CP.63; CP.56; CP.60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124 IV 86 consid. 2a p. 87 s, 127 I 38 consid. 2a p. 41). 2.1.2 Selon l'art. 140 ch. 1 al.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par ruse ou par surprise, l'auteur recourt à la contrainte pour soustraire la chose d'autrui. Le brigandage n'est donc pas exclusivement une infraction contre le patrimoine, mais aussi contre la liberté, ce qui explique qu'elle soit plus sévèrement réprimée (ATF 133 IV 297 consid. 4.1 p. 300; 129 IV 61 consid. 2.1 p. 63). Sur le plan subjectif, l’intention doit porter sur tous les éléments constitutifs, c’est-à-dire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B. CORBOZ, Les infractions en droit suisse , vol. I, Berne 2010, n. 10 et 11 ad art. 140 CP). 2.2.1 En l'espèce, l’appelante ne querelle pas le jugement entrepris en tant qu’il l’a reconnue coupable de brigandage au préjudice de C______. Conforme aux éléments du dossier et consacrant une application correcte du droit, le verdict de culpabilité sera confirmé sur ce point. 2.2.2 L’appelante conteste en revanche avoir tiré sur la sacoche que A______ portait en bandoulière, avoir fait tomber celle-ci au sol et s’être emparée des espèces (CHF 400.-) qui s’étaient répandues au sol. Ses dénégations, bien que constantes, n’emportent pas la conviction. Il ressort des déclarations, sur ce point concordantes, de A______, de X______ et de D______ que ces trois personnes se sont rencontrées le 19 décembre 2012 à la gare de Cornavin. Elles ont ensuite emprunté les transports publics pour se rendre à Plainpalais. Sur place, A______ a acheté une boulette de cocaïne qu’elle n’a pas voulu partager avec les deux autres et auxquels elle a remis, ou voulu remettre, en guise de récompense, de l’héroïne. A______ et D______ ont tous deux indiqué que X______, qui fâchée de ne pas pouvoir consommer la cocaïne achetée par A______, s’est emportée et a tiré sur le sac que cette dernière portait en bandoulière. Elle n’a pas réussi à l’arracher mais le sac s’est déchiré et son contenu est tombé par terre. Même si les déclarations de la partie plaignante et du témoin ne sont pas en tous points identiques, elles concordent pour l’essentiel. L’appelante a d’ailleurs admis qu’elle n’avait pas apprécié que A______ lui offre de l’héroïne, qu’elle ne consommait plus, à la place de la cocaïne. Aucun élément du dossier ne permet de retenir que A______ et D______ auraient menti par jalousie ou ourdi un complot pour porter préjudice à X______ et le seul fait qu’ils soient tous toxicomanes n’est pas non plus un motif pour considérer que leurs témoignages n’ont pas de valeur probante. On ne décèle pas non plus dans le témoignage de D______, qui a précisé que X______ s’en était par la suite voulue d’avoir agressé A______, la volonté de « charger » l’appelante, ce témoin ayant encore indiqué n’avoir pas vu X______ prendre de l’argent. A l’instar du brigandage commis au préjudice de C______, l’agression de A______ a aussi pour origine la dépendance à la cocaïne. Il sera encore observé que la réaction de X______ face au refus de A______ de partager la cocaïne qu’elle venait d’acheter est compatible avec les conclusions de l’expert psychiatre, qui a retenu que l’intéressée avait une tendance nette à agir de façon impulsive et sans considération pour les conséquences possibles, avec une tolérance minime à la frustration ou à la contradiction. A______ a déclaré de manière constante que X______ s’était emparée de l’argent qui se trouvait à l’intérieur de la pochette déchirée, soit CHF 400.-, étant précisé qu’il est établi par le dossier que la partie plaignante avait reçu la veille un montant de CHF 780.- en espèces de la part des services tutélaires. Au vu de ces éléments, la Cour considère, à l’instar des premiers juges, que les faits dénoncés par A______ et confirmés par le témoin D______ sont établis à satisfaction de droit. Le fait que X______ eût été en possession de plusieurs centaines de francs le 18 décembre 2012, ce que la quittance, anonyme, qu’elle a produite devant la Chambre de céans n’établit pas, ne modifie pas cette conclusion, dès lors que l’agression de A______ trouve davantage son origine dans la frustration et la colère que dans la nécessité de se procurer de l’argent. En tirant sur le sac porté par A______ en bandoulière, en la faisant tomber puis en s’emparant des espèces qui se sont répandues sur la chaussée, l’appelante s’est rendue coupable de brigandage. Le verdict de culpabilité prononcé par le Tribunal correctionnel sera ainsi entièrement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63a CP et la jurisprudence élaborée en application de cette ancienne disposition conserve toute sa valeur, de sorte que l'on peut continuer à s'y référer (arrêt du Tribunal fédéral 6B_992/2008 du 5 mars 2009 consid. 5.1). 3.2.1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3.2.2 Si les conditions d'application de l'une ou l'autre des mesures prévues aux articles 56 et suivants CP sont remplies, en particulier une mesure thérapeutique institutionnelle (art. 59 CP) ou un traitement ambulatoire (art. 63 CP), le pronostic déterminant pour l'octroi du sursis est nécessairement négatif, puisque le prononcé de ces mesures suppose un risque de récidive (cf. art. 56 al. 1 let. a CP). Les conditions du sursis, intégral ou partiel, ne sont donc pas remplies, de sorte qu’une peine ferme doit être prononcée (arrêts du Tribunal fédéral 6B_268/2008 du 2 mars 2009 consid. 6 et 6B_769/2008 du 18 juin 2009 consid. 2.3). 3.3.1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Au terme de l'art. 57 al. 1 et 2 CP, si les conditions sont remplies aussi bien pour le prononcé d’une peine que pour celui d’une mesure, le juge ordonne les deux sanctions (al. 1).</w:t>
      </w:r>
    </w:p>
    <w:p>
      <w:r>
        <w:rPr>
          <w:b/>
        </w:rPr>
        <w:t>E. 3.3</w:t>
      </w:r>
    </w:p>
    <w:p>
      <w:r>
        <w:t>. 2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p. 321 ; arrêt du Tribunal fédéral 6B_77/2012 du 18 juin 2012 consid. 2.1.2). Un traitement institutionnel peut aussi être ordonné si l’auteur est toxicodépendant ou souffre d’une autre addiction, s’il a commis un crime ou un délit en relation avec ce trouble et qu’il est à prévoir que ce traitement le détournera d’autres infractions en relation avec cette addiction (art. 60 al 1 CP). Au moment de prononcer la mesure, le juge tient compte de la demande et de la motivation de l’auteur (art. 60 al. 2 CP).</w:t>
      </w:r>
    </w:p>
    <w:p>
      <w:r>
        <w:rPr>
          <w:b/>
        </w:rPr>
        <w:t>E. 3.3.3</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Si la peine n’est pas compatible avec le traitement, le juge peut suspendre, au profit du traitement ambulatoire, l’exécution d’une peine privative de liberté ferme prononcée en même temps que le traitement. Il peut ordonner une assistance de probation et imposer des règles de conduite pendant la durée du traitement (art. 63 al. 2 CP). Le traitement ambulatoire ne peut en règle générale excéder cinq ans (al. 4). 3.4.1 En l'espèce, la faute de l'appelante est lourde. Elle n’a pas hésité à menacer avec un couteau une voisine âgée, qu’elle connaissait de longue date et qui l’avait aidée par le passé, et à l’enfermer dans les toilettes, afin de s’emparer de quelques objets et valeurs. A peine quelques mois plus tard et alors qu’elle se trouvait en liberté provisoire, elle s’en est prise à une toxicomane en tirant sur son sac et en la faisant tomber pour ensuite lui dérober CHF 400.-. Elle a agi par appât d’un gain facile à obtenir, dans le but égoïste d’assouvir sa dépendance à la cocaïne. Si elle a reconnu rapidement les faits commis au préjudice de C______, l’appelante a continué à nier avoir fait usage de violence à l’encontre de A______ et lui avoir dérobé de l’argent. Sa prise de conscience est donc imparfaite. Aucune circonstance atténuante n’est plaidée ni réalisée et, nonobstant la présence d’un grave trouble mental et d’une polytoxicomanie, la responsabilité de l’appelante est entière aux dires d’expert, ce qui n’est pas contesté. L’appelante, qui a été condamnée en 2003, en 2008 et en 2010, a des antécédents de violence pour avoir déjà été reconnue coupable de voies de fait et de lésions corporelles simples. La décision des premiers juges de condamner l’appelante à une peine privative de liberté de 24 mois consacre ainsi une application correcte des critères de l’art. 47 CP et sera par conséquent confirmée. 3.4.2 L’expert a retenu qu’en raison des troubles dont souffre l’appelante, il était probable qu’elle puisse commettre à nouveau des infractions de même nature que celles faisant l'objet de la présente procédure. Vu le risque de récidive retenu par l’expert et les antécédents de l’appelante, et en application de la jurisprudence citée ci-dessus, il y a lieu de retenir que le pronostic d’avenir est concrètement défavorable et que, par conséquent, les conditions fixées au prononcé d’un sursis, total ou partiel, ne sont pas remplies, de sorte qu’une peine ferme doit être prononcée. La décision du Tribunal correctionnel sera également confirmée sur ce point.</w:t>
      </w:r>
    </w:p>
    <w:p>
      <w:r>
        <w:rPr>
          <w:b/>
        </w:rPr>
        <w:t>E. 3.5</w:t>
      </w:r>
    </w:p>
    <w:p>
      <w:r>
        <w:t>En ce qui concerne la mesure, l’expert a indiqué que le risque de récidive pouvait être partiellement maîtrisé par la mise en place d’un traitement spécialisé. Il a ajouté que ce traitement devait consister en un suivi des troubles psychiques et de ceux liés aux addictions et a conclu au prononcé d’un traitement institutionnel. Cela étant, en cas de placement dans un établissement en vue de soigner des addictions, le juge ne peut faire abstraction de la demande et de la motivation de l’auteur (cf. art. 60 al. 2 CP). Or, il est constant que l’appelante n’est aucunement motivée à suivre un programme dans un cadre institutionnel, ce qu’elle a confirmé devant la Chambre de céans, et n’a du reste entrepris aucune démarche concrète en vue de son admission dans un établissement spécialisé comme la FONDATION LES OLIVIERS. Il ressort d’ailleurs du rapport du SPI du 18 décembre 2012 que l’appelante conteste tout encadrement qui lui est imposé, refusant de se conformer aux quelques règles élémentaires de la vie communautaire, et adopte une attitude d’opposition tant à l’égard du personnel que des autres pensionnaires. Dans ces conditions, un traitement institutionnel en milieu ouvert n’est pas adapté et apparaît d’emblée voué à l’échec. Il s’impose par conséquent d’ordonner un suivi ambulatoire, que l’expert a aussi envisagé, sous la forme d’un suivi des addictions et psychiatrique, tant médicamenteux que psychothérapeutique, lequel devra comprendre des contrôles toxicologiques aléatoires en vue de vérifier l’abstinence aux stupéfiants. Compatible avec l’exécution de la peine selon les conclusions de l’expertise, ce traitement devra normalement être poursuivi après la sortie de l’appelante de prison aux conditions de l’art. 63 al. 4 CP, dès lors que sa durée, qui ne coïncide pas avec celle de la peine privative de liberté, obéit à d’autres critères. Le jugement entrepris sera réformé sur ce point.</w:t>
      </w:r>
    </w:p>
    <w:p>
      <w:r>
        <w:rPr>
          <w:b/>
        </w:rPr>
        <w:t>E. 4</w:t>
      </w:r>
    </w:p>
    <w:p>
      <w:r>
        <w:t>L’appelante, qui succombe partiellement, supportera la moitié des frais de la procédure d’appel, le solde étant laissé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